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FFB4" w14:textId="21C24FBF" w:rsidR="00F71E30" w:rsidRDefault="00F71E30" w:rsidP="0092260F">
      <w:pPr>
        <w:spacing w:before="120" w:after="120"/>
        <w:jc w:val="both"/>
        <w:rPr>
          <w:b/>
          <w:color w:val="630042"/>
          <w:sz w:val="40"/>
          <w:szCs w:val="40"/>
        </w:rPr>
      </w:pPr>
      <w:r>
        <w:rPr>
          <w:b/>
          <w:color w:val="630042"/>
          <w:sz w:val="40"/>
          <w:szCs w:val="40"/>
        </w:rPr>
        <w:t xml:space="preserve">Soutien de l’Université Paris-Saclay à </w:t>
      </w:r>
      <w:r w:rsidR="005170F7">
        <w:rPr>
          <w:b/>
          <w:color w:val="630042"/>
          <w:sz w:val="40"/>
          <w:szCs w:val="40"/>
        </w:rPr>
        <w:t>l’organisation d’</w:t>
      </w:r>
      <w:r>
        <w:rPr>
          <w:b/>
          <w:color w:val="630042"/>
          <w:sz w:val="40"/>
          <w:szCs w:val="40"/>
        </w:rPr>
        <w:t>écoles thématiques</w:t>
      </w:r>
      <w:r w:rsidR="00877AD6">
        <w:rPr>
          <w:b/>
          <w:color w:val="630042"/>
          <w:sz w:val="40"/>
          <w:szCs w:val="40"/>
        </w:rPr>
        <w:t xml:space="preserve"> internationales</w:t>
      </w:r>
    </w:p>
    <w:p w14:paraId="72F2F978" w14:textId="086C91B2" w:rsidR="00D663C0" w:rsidRPr="00F71E30" w:rsidRDefault="00F71E30" w:rsidP="00FF579C">
      <w:pPr>
        <w:spacing w:before="120" w:after="120"/>
        <w:rPr>
          <w:b/>
          <w:color w:val="630042"/>
          <w:sz w:val="40"/>
          <w:szCs w:val="40"/>
        </w:rPr>
      </w:pPr>
      <w:r>
        <w:rPr>
          <w:b/>
          <w:color w:val="630042"/>
          <w:sz w:val="40"/>
          <w:szCs w:val="40"/>
        </w:rPr>
        <w:t xml:space="preserve">Appel à </w:t>
      </w:r>
      <w:r w:rsidR="005E0868">
        <w:rPr>
          <w:b/>
          <w:color w:val="630042"/>
          <w:sz w:val="40"/>
          <w:szCs w:val="40"/>
        </w:rPr>
        <w:t>projets</w:t>
      </w:r>
      <w:r>
        <w:rPr>
          <w:b/>
          <w:color w:val="630042"/>
          <w:sz w:val="40"/>
          <w:szCs w:val="40"/>
        </w:rPr>
        <w:t xml:space="preserve"> 20</w:t>
      </w:r>
      <w:r w:rsidR="00B70BA3">
        <w:rPr>
          <w:b/>
          <w:color w:val="630042"/>
          <w:sz w:val="40"/>
          <w:szCs w:val="40"/>
        </w:rPr>
        <w:t>2</w:t>
      </w:r>
      <w:r w:rsidR="00902FD3">
        <w:rPr>
          <w:b/>
          <w:color w:val="630042"/>
          <w:sz w:val="40"/>
          <w:szCs w:val="40"/>
        </w:rPr>
        <w:t>5</w:t>
      </w:r>
    </w:p>
    <w:p w14:paraId="6E59543F" w14:textId="77777777" w:rsidR="00FB3A55" w:rsidRPr="0085339A" w:rsidRDefault="00FB3A55" w:rsidP="00FF579C">
      <w:pPr>
        <w:spacing w:after="120"/>
        <w:jc w:val="both"/>
      </w:pPr>
      <w:r w:rsidRPr="006C06BE">
        <w:rPr>
          <w:rFonts w:ascii="Open Sans" w:eastAsia="Lucida Sans" w:hAnsi="Open Sans" w:cs="Open San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E9F73" wp14:editId="53DC133F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010910" cy="2133600"/>
                <wp:effectExtent l="0" t="0" r="889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213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FA53B" w14:textId="77B44BEE" w:rsidR="00BA0465" w:rsidRPr="0011277C" w:rsidRDefault="00BA0465" w:rsidP="0011277C">
                            <w:pPr>
                              <w:jc w:val="both"/>
                              <w:rPr>
                                <w:color w:val="630042"/>
                              </w:rPr>
                            </w:pPr>
                            <w:r>
                              <w:rPr>
                                <w:color w:val="630042"/>
                              </w:rPr>
                              <w:t xml:space="preserve">Afin de développer son 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attractivité et </w:t>
                            </w:r>
                            <w:r>
                              <w:rPr>
                                <w:color w:val="630042"/>
                              </w:rPr>
                              <w:t>sa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 visibilité internationale, l’Université Paris-Saclay souhaite soutenir ses cherche</w:t>
                            </w:r>
                            <w:r w:rsidR="003238C0">
                              <w:rPr>
                                <w:color w:val="630042"/>
                              </w:rPr>
                              <w:t>urs, enseignants-chercheurs et p</w:t>
                            </w:r>
                            <w:r w:rsidR="00296590">
                              <w:rPr>
                                <w:color w:val="630042"/>
                              </w:rPr>
                              <w:t>rofesseur</w:t>
                            </w:r>
                            <w:r w:rsidR="003238C0">
                              <w:rPr>
                                <w:color w:val="630042"/>
                              </w:rPr>
                              <w:t>s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 dans l’organisation d’écoles </w:t>
                            </w:r>
                            <w:r>
                              <w:rPr>
                                <w:color w:val="630042"/>
                              </w:rPr>
                              <w:t>thématiques internationales (de type « écoles d’été »)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. </w:t>
                            </w:r>
                          </w:p>
                          <w:p w14:paraId="15A2A160" w14:textId="7B398BB9" w:rsidR="00BA0465" w:rsidRPr="0011277C" w:rsidRDefault="00BA0465" w:rsidP="0011277C">
                            <w:pPr>
                              <w:jc w:val="both"/>
                              <w:rPr>
                                <w:color w:val="630042"/>
                              </w:rPr>
                            </w:pPr>
                            <w:r w:rsidRPr="0011277C">
                              <w:rPr>
                                <w:color w:val="630042"/>
                              </w:rPr>
                              <w:t>L</w:t>
                            </w:r>
                            <w:r w:rsidR="00646243">
                              <w:rPr>
                                <w:color w:val="630042"/>
                              </w:rPr>
                              <w:t>’objectif du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 présent appel </w:t>
                            </w:r>
                            <w:r w:rsidR="00646243">
                              <w:rPr>
                                <w:color w:val="630042"/>
                              </w:rPr>
                              <w:t xml:space="preserve">est </w:t>
                            </w:r>
                            <w:r w:rsidRPr="0011277C">
                              <w:rPr>
                                <w:color w:val="630042"/>
                              </w:rPr>
                              <w:t>d</w:t>
                            </w:r>
                            <w:r w:rsidR="00646243">
                              <w:rPr>
                                <w:color w:val="630042"/>
                              </w:rPr>
                              <w:t xml:space="preserve">e les </w:t>
                            </w:r>
                            <w:r>
                              <w:rPr>
                                <w:color w:val="630042"/>
                              </w:rPr>
                              <w:t xml:space="preserve">aider à 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attirer les meilleurs étudiants, doctorants et </w:t>
                            </w:r>
                            <w:proofErr w:type="spellStart"/>
                            <w:r w:rsidRPr="0011277C">
                              <w:rPr>
                                <w:color w:val="630042"/>
                              </w:rPr>
                              <w:t>post-doctorants</w:t>
                            </w:r>
                            <w:proofErr w:type="spellEnd"/>
                            <w:r w:rsidRPr="0011277C">
                              <w:rPr>
                                <w:color w:val="630042"/>
                              </w:rPr>
                              <w:t xml:space="preserve"> étrangers </w:t>
                            </w:r>
                            <w:r>
                              <w:rPr>
                                <w:color w:val="630042"/>
                              </w:rPr>
                              <w:t>dans le cadre de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 partenariats internationaux et </w:t>
                            </w:r>
                            <w:r w:rsidR="00646243">
                              <w:rPr>
                                <w:color w:val="630042"/>
                              </w:rPr>
                              <w:t xml:space="preserve">à 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créer de nouveaux réseaux scientifiques aptes à appréhender les grands défis </w:t>
                            </w:r>
                            <w:r>
                              <w:rPr>
                                <w:color w:val="630042"/>
                              </w:rPr>
                              <w:t>scientifiques et sociétaux</w:t>
                            </w:r>
                            <w:r w:rsidRPr="0011277C">
                              <w:rPr>
                                <w:color w:val="630042"/>
                              </w:rPr>
                              <w:t xml:space="preserve"> à venir. </w:t>
                            </w:r>
                          </w:p>
                          <w:p w14:paraId="1B15AAA8" w14:textId="71D52C60" w:rsidR="00BA0465" w:rsidRPr="0011277C" w:rsidRDefault="00BA0465" w:rsidP="0011277C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>Attribu</w:t>
                            </w:r>
                            <w:r>
                              <w:rPr>
                                <w:color w:val="630042"/>
                                <w:lang w:val="fr-FR"/>
                              </w:rPr>
                              <w:t xml:space="preserve">é sur la base de l’excellence et </w:t>
                            </w:r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 xml:space="preserve">de la renommée des intervenants internationaux </w:t>
                            </w:r>
                            <w:r>
                              <w:rPr>
                                <w:color w:val="630042"/>
                                <w:lang w:val="fr-FR"/>
                              </w:rPr>
                              <w:t xml:space="preserve">ainsi que </w:t>
                            </w:r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 xml:space="preserve">du </w:t>
                            </w:r>
                            <w:r w:rsidR="00EF3FDD">
                              <w:rPr>
                                <w:color w:val="630042"/>
                                <w:lang w:val="fr-FR"/>
                              </w:rPr>
                              <w:t>caractère</w:t>
                            </w:r>
                            <w:r w:rsidR="00EF3FDD" w:rsidRPr="00F71E30">
                              <w:rPr>
                                <w:color w:val="630042"/>
                                <w:lang w:val="fr-FR"/>
                              </w:rPr>
                              <w:t xml:space="preserve"> </w:t>
                            </w:r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 xml:space="preserve">novateur du projet, </w:t>
                            </w:r>
                            <w:r>
                              <w:rPr>
                                <w:color w:val="630042"/>
                                <w:lang w:val="fr-FR"/>
                              </w:rPr>
                              <w:t>le soutien accordé contribue également à la création ou l’extension d’</w:t>
                            </w:r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 xml:space="preserve">un réseau </w:t>
                            </w:r>
                            <w:proofErr w:type="spellStart"/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>d’alumni</w:t>
                            </w:r>
                            <w:proofErr w:type="spellEnd"/>
                            <w:r>
                              <w:rPr>
                                <w:color w:val="630042"/>
                                <w:lang w:val="fr-FR"/>
                              </w:rPr>
                              <w:t xml:space="preserve"> </w:t>
                            </w:r>
                            <w:r w:rsidR="00106736">
                              <w:rPr>
                                <w:color w:val="630042"/>
                                <w:lang w:val="fr-FR"/>
                              </w:rPr>
                              <w:t xml:space="preserve">constitué d’étudiants, </w:t>
                            </w:r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>doctorants</w:t>
                            </w:r>
                            <w:r w:rsidR="00106736">
                              <w:rPr>
                                <w:color w:val="630042"/>
                                <w:lang w:val="fr-FR"/>
                              </w:rPr>
                              <w:t xml:space="preserve"> et jeunes chercheurs</w:t>
                            </w:r>
                            <w:r>
                              <w:rPr>
                                <w:color w:val="630042"/>
                                <w:lang w:val="fr-FR"/>
                              </w:rPr>
                              <w:t xml:space="preserve"> en provenance </w:t>
                            </w:r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 xml:space="preserve">d’institutions </w:t>
                            </w:r>
                            <w:r w:rsidRPr="004A1C91">
                              <w:rPr>
                                <w:color w:val="630042"/>
                                <w:lang w:val="fr-FR"/>
                              </w:rPr>
                              <w:t>d’intérêt pour l’Université Paris-Saclay</w:t>
                            </w:r>
                            <w:r w:rsidRPr="00F71E30">
                              <w:rPr>
                                <w:color w:val="63004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6E9F73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0;margin-top:15.35pt;width:473.3pt;height:16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" fillcolor="#d8d8d8 [2732]" stroked="f" strokeweight=".5pt">
                <v:textbox>
                  <w:txbxContent>
                    <w:p w14:paraId="45EFA53B" w14:textId="77B44BEE" w:rsidR="00BA0465" w:rsidRPr="0011277C" w:rsidRDefault="00BA0465" w:rsidP="0011277C">
                      <w:pPr>
                        <w:jc w:val="both"/>
                        <w:rPr>
                          <w:color w:val="630042"/>
                        </w:rPr>
                      </w:pPr>
                      <w:r>
                        <w:rPr>
                          <w:color w:val="630042"/>
                        </w:rPr>
                        <w:t xml:space="preserve">Afin de développer son </w:t>
                      </w:r>
                      <w:r w:rsidRPr="0011277C">
                        <w:rPr>
                          <w:color w:val="630042"/>
                        </w:rPr>
                        <w:t xml:space="preserve">attractivité et </w:t>
                      </w:r>
                      <w:r>
                        <w:rPr>
                          <w:color w:val="630042"/>
                        </w:rPr>
                        <w:t>sa</w:t>
                      </w:r>
                      <w:r w:rsidRPr="0011277C">
                        <w:rPr>
                          <w:color w:val="630042"/>
                        </w:rPr>
                        <w:t xml:space="preserve"> visibilité internationale, l’Université Paris-Saclay souhaite soutenir ses cherche</w:t>
                      </w:r>
                      <w:r w:rsidR="003238C0">
                        <w:rPr>
                          <w:color w:val="630042"/>
                        </w:rPr>
                        <w:t>urs, enseignants-chercheurs et p</w:t>
                      </w:r>
                      <w:r w:rsidR="00296590">
                        <w:rPr>
                          <w:color w:val="630042"/>
                        </w:rPr>
                        <w:t>rofesseur</w:t>
                      </w:r>
                      <w:r w:rsidR="003238C0">
                        <w:rPr>
                          <w:color w:val="630042"/>
                        </w:rPr>
                        <w:t>s</w:t>
                      </w:r>
                      <w:r w:rsidRPr="0011277C">
                        <w:rPr>
                          <w:color w:val="630042"/>
                        </w:rPr>
                        <w:t xml:space="preserve"> dans l’organisation d’écoles </w:t>
                      </w:r>
                      <w:r>
                        <w:rPr>
                          <w:color w:val="630042"/>
                        </w:rPr>
                        <w:t>thématiques internationales (de type « écoles d’été »)</w:t>
                      </w:r>
                      <w:r w:rsidRPr="0011277C">
                        <w:rPr>
                          <w:color w:val="630042"/>
                        </w:rPr>
                        <w:t xml:space="preserve">. </w:t>
                      </w:r>
                    </w:p>
                    <w:p w14:paraId="15A2A160" w14:textId="7B398BB9" w:rsidR="00BA0465" w:rsidRPr="0011277C" w:rsidRDefault="00BA0465" w:rsidP="0011277C">
                      <w:pPr>
                        <w:jc w:val="both"/>
                        <w:rPr>
                          <w:color w:val="630042"/>
                        </w:rPr>
                      </w:pPr>
                      <w:r w:rsidRPr="0011277C">
                        <w:rPr>
                          <w:color w:val="630042"/>
                        </w:rPr>
                        <w:t>L</w:t>
                      </w:r>
                      <w:r w:rsidR="00646243">
                        <w:rPr>
                          <w:color w:val="630042"/>
                        </w:rPr>
                        <w:t>’objectif du</w:t>
                      </w:r>
                      <w:r w:rsidRPr="0011277C">
                        <w:rPr>
                          <w:color w:val="630042"/>
                        </w:rPr>
                        <w:t xml:space="preserve"> présent appel </w:t>
                      </w:r>
                      <w:r w:rsidR="00646243">
                        <w:rPr>
                          <w:color w:val="630042"/>
                        </w:rPr>
                        <w:t xml:space="preserve">est </w:t>
                      </w:r>
                      <w:r w:rsidRPr="0011277C">
                        <w:rPr>
                          <w:color w:val="630042"/>
                        </w:rPr>
                        <w:t>d</w:t>
                      </w:r>
                      <w:r w:rsidR="00646243">
                        <w:rPr>
                          <w:color w:val="630042"/>
                        </w:rPr>
                        <w:t xml:space="preserve">e les </w:t>
                      </w:r>
                      <w:r>
                        <w:rPr>
                          <w:color w:val="630042"/>
                        </w:rPr>
                        <w:t xml:space="preserve">aider à </w:t>
                      </w:r>
                      <w:r w:rsidRPr="0011277C">
                        <w:rPr>
                          <w:color w:val="630042"/>
                        </w:rPr>
                        <w:t xml:space="preserve">attirer les meilleurs étudiants, doctorants et post-doctorants étrangers </w:t>
                      </w:r>
                      <w:r>
                        <w:rPr>
                          <w:color w:val="630042"/>
                        </w:rPr>
                        <w:t>dans le cadre de</w:t>
                      </w:r>
                      <w:r w:rsidRPr="0011277C">
                        <w:rPr>
                          <w:color w:val="630042"/>
                        </w:rPr>
                        <w:t xml:space="preserve"> partenariats internationaux et </w:t>
                      </w:r>
                      <w:r w:rsidR="00646243">
                        <w:rPr>
                          <w:color w:val="630042"/>
                        </w:rPr>
                        <w:t xml:space="preserve">à </w:t>
                      </w:r>
                      <w:r w:rsidRPr="0011277C">
                        <w:rPr>
                          <w:color w:val="630042"/>
                        </w:rPr>
                        <w:t xml:space="preserve">créer de nouveaux réseaux scientifiques aptes à appréhender les grands défis </w:t>
                      </w:r>
                      <w:r>
                        <w:rPr>
                          <w:color w:val="630042"/>
                        </w:rPr>
                        <w:t>scientifiques et sociétaux</w:t>
                      </w:r>
                      <w:r w:rsidRPr="0011277C">
                        <w:rPr>
                          <w:color w:val="630042"/>
                        </w:rPr>
                        <w:t xml:space="preserve"> à venir. </w:t>
                      </w:r>
                    </w:p>
                    <w:p w14:paraId="1B15AAA8" w14:textId="71D52C60" w:rsidR="00BA0465" w:rsidRPr="0011277C" w:rsidRDefault="00BA0465" w:rsidP="0011277C">
                      <w:pPr>
                        <w:pStyle w:val="Corpsdetexte"/>
                        <w:ind w:left="0" w:right="113"/>
                        <w:jc w:val="both"/>
                        <w:rPr>
                          <w:rFonts w:asciiTheme="minorHAnsi" w:hAnsiTheme="minorHAnsi" w:cstheme="minorHAnsi"/>
                          <w:b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F71E30">
                        <w:rPr>
                          <w:color w:val="630042"/>
                          <w:lang w:val="fr-FR"/>
                        </w:rPr>
                        <w:t>Attribu</w:t>
                      </w:r>
                      <w:r>
                        <w:rPr>
                          <w:color w:val="630042"/>
                          <w:lang w:val="fr-FR"/>
                        </w:rPr>
                        <w:t xml:space="preserve">é sur la base de l’excellence et </w:t>
                      </w:r>
                      <w:r w:rsidRPr="00F71E30">
                        <w:rPr>
                          <w:color w:val="630042"/>
                          <w:lang w:val="fr-FR"/>
                        </w:rPr>
                        <w:t xml:space="preserve">de la renommée des intervenants internationaux </w:t>
                      </w:r>
                      <w:r>
                        <w:rPr>
                          <w:color w:val="630042"/>
                          <w:lang w:val="fr-FR"/>
                        </w:rPr>
                        <w:t xml:space="preserve">ainsi que </w:t>
                      </w:r>
                      <w:r w:rsidRPr="00F71E30">
                        <w:rPr>
                          <w:color w:val="630042"/>
                          <w:lang w:val="fr-FR"/>
                        </w:rPr>
                        <w:t xml:space="preserve">du </w:t>
                      </w:r>
                      <w:r w:rsidR="00EF3FDD">
                        <w:rPr>
                          <w:color w:val="630042"/>
                          <w:lang w:val="fr-FR"/>
                        </w:rPr>
                        <w:t>caractère</w:t>
                      </w:r>
                      <w:r w:rsidR="00EF3FDD" w:rsidRPr="00F71E30">
                        <w:rPr>
                          <w:color w:val="630042"/>
                          <w:lang w:val="fr-FR"/>
                        </w:rPr>
                        <w:t xml:space="preserve"> </w:t>
                      </w:r>
                      <w:r w:rsidRPr="00F71E30">
                        <w:rPr>
                          <w:color w:val="630042"/>
                          <w:lang w:val="fr-FR"/>
                        </w:rPr>
                        <w:t xml:space="preserve">novateur du projet, </w:t>
                      </w:r>
                      <w:r>
                        <w:rPr>
                          <w:color w:val="630042"/>
                          <w:lang w:val="fr-FR"/>
                        </w:rPr>
                        <w:t>le soutien accordé contribue également à la création ou l’extension d’</w:t>
                      </w:r>
                      <w:r w:rsidRPr="00F71E30">
                        <w:rPr>
                          <w:color w:val="630042"/>
                          <w:lang w:val="fr-FR"/>
                        </w:rPr>
                        <w:t>un réseau d’alumni</w:t>
                      </w:r>
                      <w:r>
                        <w:rPr>
                          <w:color w:val="630042"/>
                          <w:lang w:val="fr-FR"/>
                        </w:rPr>
                        <w:t xml:space="preserve"> </w:t>
                      </w:r>
                      <w:r w:rsidR="00106736">
                        <w:rPr>
                          <w:color w:val="630042"/>
                          <w:lang w:val="fr-FR"/>
                        </w:rPr>
                        <w:t xml:space="preserve">constitué d’étudiants, </w:t>
                      </w:r>
                      <w:r w:rsidRPr="00F71E30">
                        <w:rPr>
                          <w:color w:val="630042"/>
                          <w:lang w:val="fr-FR"/>
                        </w:rPr>
                        <w:t>doctorants</w:t>
                      </w:r>
                      <w:r w:rsidR="00106736">
                        <w:rPr>
                          <w:color w:val="630042"/>
                          <w:lang w:val="fr-FR"/>
                        </w:rPr>
                        <w:t xml:space="preserve"> et jeunes chercheurs</w:t>
                      </w:r>
                      <w:r>
                        <w:rPr>
                          <w:color w:val="630042"/>
                          <w:lang w:val="fr-FR"/>
                        </w:rPr>
                        <w:t xml:space="preserve"> en provenance </w:t>
                      </w:r>
                      <w:r w:rsidRPr="00F71E30">
                        <w:rPr>
                          <w:color w:val="630042"/>
                          <w:lang w:val="fr-FR"/>
                        </w:rPr>
                        <w:t xml:space="preserve">d’institutions </w:t>
                      </w:r>
                      <w:r w:rsidRPr="004A1C91">
                        <w:rPr>
                          <w:color w:val="630042"/>
                          <w:lang w:val="fr-FR"/>
                        </w:rPr>
                        <w:t>d’intérêt pour l’Université Paris-Saclay</w:t>
                      </w:r>
                      <w:r w:rsidRPr="00F71E30">
                        <w:rPr>
                          <w:color w:val="630042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1E534" w14:textId="77777777" w:rsidR="00FB3A55" w:rsidRPr="0085339A" w:rsidRDefault="00FB3A55" w:rsidP="00FF579C">
      <w:pPr>
        <w:spacing w:after="120"/>
        <w:jc w:val="both"/>
      </w:pPr>
    </w:p>
    <w:p w14:paraId="07C2E086" w14:textId="77777777" w:rsidR="00FB3A55" w:rsidRPr="0085339A" w:rsidRDefault="00FB3A55" w:rsidP="00FF579C">
      <w:pPr>
        <w:spacing w:after="120"/>
        <w:jc w:val="both"/>
      </w:pPr>
    </w:p>
    <w:p w14:paraId="5A2C260E" w14:textId="77777777" w:rsidR="00FB3A55" w:rsidRPr="0085339A" w:rsidRDefault="00FB3A55" w:rsidP="00FF579C">
      <w:pPr>
        <w:spacing w:after="120"/>
        <w:jc w:val="both"/>
      </w:pPr>
    </w:p>
    <w:p w14:paraId="6ABCDBD2" w14:textId="77777777" w:rsidR="00FB3A55" w:rsidRPr="0085339A" w:rsidRDefault="00FB3A55" w:rsidP="00FF579C">
      <w:pPr>
        <w:spacing w:after="120"/>
        <w:jc w:val="both"/>
      </w:pPr>
    </w:p>
    <w:p w14:paraId="6A4A0757" w14:textId="77777777" w:rsidR="00FB3A55" w:rsidRPr="0085339A" w:rsidRDefault="00FB3A55" w:rsidP="00FF579C">
      <w:pPr>
        <w:spacing w:after="120"/>
        <w:jc w:val="both"/>
      </w:pPr>
    </w:p>
    <w:p w14:paraId="35087EB4" w14:textId="77777777" w:rsidR="00FB3A55" w:rsidRPr="0085339A" w:rsidRDefault="00FB3A55" w:rsidP="00FF579C">
      <w:pPr>
        <w:spacing w:after="120"/>
        <w:jc w:val="both"/>
      </w:pPr>
    </w:p>
    <w:p w14:paraId="4915D035" w14:textId="77777777" w:rsidR="0077305C" w:rsidRPr="0085339A" w:rsidRDefault="0077305C" w:rsidP="0077305C">
      <w:pPr>
        <w:spacing w:before="120" w:after="120"/>
        <w:rPr>
          <w:b/>
          <w:color w:val="630042"/>
        </w:rPr>
      </w:pPr>
    </w:p>
    <w:p w14:paraId="3CDB33E6" w14:textId="77777777" w:rsidR="0085339A" w:rsidRPr="0085339A" w:rsidRDefault="0085339A" w:rsidP="0077305C">
      <w:pPr>
        <w:spacing w:before="120" w:after="120"/>
        <w:rPr>
          <w:b/>
          <w:color w:val="630042"/>
        </w:rPr>
      </w:pPr>
    </w:p>
    <w:p w14:paraId="6BC6FD27" w14:textId="6E7B01A4" w:rsidR="0077305C" w:rsidRPr="00AE6551" w:rsidRDefault="008A05AA" w:rsidP="008A05AA">
      <w:pPr>
        <w:pBdr>
          <w:bottom w:val="single" w:sz="4" w:space="0" w:color="auto"/>
        </w:pBdr>
        <w:spacing w:before="360"/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Nature du soutien</w:t>
      </w:r>
    </w:p>
    <w:p w14:paraId="263CE6D8" w14:textId="438EF3E3" w:rsidR="00C20BEF" w:rsidRDefault="00002085" w:rsidP="00FF579C">
      <w:pPr>
        <w:spacing w:after="120"/>
        <w:jc w:val="both"/>
      </w:pPr>
      <w:r>
        <w:t>Cet a</w:t>
      </w:r>
      <w:r w:rsidR="00497B15">
        <w:t xml:space="preserve">ppel s’adresse aux </w:t>
      </w:r>
      <w:r w:rsidR="00B70BA3">
        <w:t>enseignants, enseignants-</w:t>
      </w:r>
      <w:r w:rsidR="00D244A1">
        <w:t>chercheurs et</w:t>
      </w:r>
      <w:r>
        <w:t xml:space="preserve"> chercheurs </w:t>
      </w:r>
      <w:r w:rsidR="00B70BA3">
        <w:t xml:space="preserve">des composantes, </w:t>
      </w:r>
      <w:r w:rsidR="00D244A1">
        <w:t>des établissements-composantes</w:t>
      </w:r>
      <w:r w:rsidR="00DB6AA9">
        <w:t xml:space="preserve">, </w:t>
      </w:r>
      <w:r w:rsidR="00B70BA3">
        <w:t>des universités membres</w:t>
      </w:r>
      <w:r w:rsidR="00EF3FDD">
        <w:t>-</w:t>
      </w:r>
      <w:r w:rsidR="00B70BA3">
        <w:t>associés</w:t>
      </w:r>
      <w:r w:rsidR="00E52EFC">
        <w:t xml:space="preserve"> de l’Université Paris-Saclay,</w:t>
      </w:r>
      <w:r w:rsidR="00B70BA3">
        <w:t xml:space="preserve"> </w:t>
      </w:r>
      <w:r w:rsidR="00DB6AA9">
        <w:t xml:space="preserve">et </w:t>
      </w:r>
      <w:r w:rsidR="00E52EFC">
        <w:t xml:space="preserve">aux chercheurs </w:t>
      </w:r>
      <w:r w:rsidR="00DB6AA9">
        <w:t xml:space="preserve">des organismes nationaux de recherche </w:t>
      </w:r>
      <w:r w:rsidR="00661273">
        <w:t>travaillant</w:t>
      </w:r>
      <w:r w:rsidR="00291C45">
        <w:t xml:space="preserve"> au sein de</w:t>
      </w:r>
      <w:r w:rsidR="00DB6AA9">
        <w:t xml:space="preserve"> laboratoires </w:t>
      </w:r>
      <w:r w:rsidR="00291C45">
        <w:t>dont</w:t>
      </w:r>
      <w:r w:rsidR="00DB6AA9">
        <w:t xml:space="preserve"> </w:t>
      </w:r>
      <w:r w:rsidR="00B70BA3">
        <w:t>l’Université Paris-Saclay</w:t>
      </w:r>
      <w:r w:rsidR="0061087C">
        <w:t xml:space="preserve"> </w:t>
      </w:r>
      <w:r w:rsidR="00291C45">
        <w:t xml:space="preserve">est tutelle, </w:t>
      </w:r>
      <w:r w:rsidR="0061087C">
        <w:t xml:space="preserve">qui souhaitent </w:t>
      </w:r>
      <w:r w:rsidR="0061087C" w:rsidRPr="006D07FB">
        <w:rPr>
          <w:b/>
        </w:rPr>
        <w:t xml:space="preserve">organiser une école thématique internationale </w:t>
      </w:r>
      <w:r w:rsidR="0061087C" w:rsidRPr="00C00FDD">
        <w:rPr>
          <w:b/>
        </w:rPr>
        <w:t>au cours de l’année 202</w:t>
      </w:r>
      <w:r w:rsidR="00902FD3">
        <w:rPr>
          <w:b/>
        </w:rPr>
        <w:t>5</w:t>
      </w:r>
      <w:r w:rsidR="006D07FB">
        <w:t xml:space="preserve">. </w:t>
      </w:r>
    </w:p>
    <w:p w14:paraId="110005B0" w14:textId="6AE28578" w:rsidR="00B70BA3" w:rsidRDefault="00B70BA3" w:rsidP="00B70BA3">
      <w:pPr>
        <w:spacing w:after="120"/>
        <w:jc w:val="both"/>
      </w:pPr>
      <w:r w:rsidRPr="00482A42">
        <w:t>Les projets d</w:t>
      </w:r>
      <w:r w:rsidR="000A36B6">
        <w:t>oivent</w:t>
      </w:r>
      <w:r w:rsidRPr="00482A42">
        <w:t xml:space="preserve"> avoir comme objectif</w:t>
      </w:r>
      <w:r w:rsidR="00EF3FDD">
        <w:t xml:space="preserve"> </w:t>
      </w:r>
      <w:r w:rsidRPr="00482A42">
        <w:t>d’aider les participants à approfondir leurs connaissances d’une thématique, à définir leur projet de formation ou projet professionnel, à favoriser leur insertion professionnelle ou encore à les sensibiliser et les orienter vers la recherche et l’innovation scientifique dans un domaine ciblé. Ils d</w:t>
      </w:r>
      <w:r w:rsidR="000A36B6">
        <w:t>oivent</w:t>
      </w:r>
      <w:r w:rsidRPr="00482A42">
        <w:t xml:space="preserve"> également permettre d’amorcer ou de renforcer une collaboration ou un partenariat international</w:t>
      </w:r>
      <w:r w:rsidR="003A382F" w:rsidRPr="00482A42">
        <w:t xml:space="preserve"> en formation ou en recherche ; ou d’attirer les meilleurs étudiants, doctorants et </w:t>
      </w:r>
      <w:proofErr w:type="spellStart"/>
      <w:r w:rsidR="003A382F" w:rsidRPr="00482A42">
        <w:t>post-doctorants</w:t>
      </w:r>
      <w:proofErr w:type="spellEnd"/>
      <w:r w:rsidR="003A382F" w:rsidRPr="00482A42">
        <w:t xml:space="preserve"> internationaux à l’Université Paris-Saclay.</w:t>
      </w:r>
    </w:p>
    <w:p w14:paraId="624D665C" w14:textId="77777777" w:rsidR="00FF5478" w:rsidRDefault="0061087C" w:rsidP="006D07FB">
      <w:pPr>
        <w:spacing w:after="120"/>
        <w:jc w:val="both"/>
      </w:pPr>
      <w:r w:rsidRPr="00C00FDD">
        <w:rPr>
          <w:b/>
        </w:rPr>
        <w:t>Les</w:t>
      </w:r>
      <w:r w:rsidR="00582856" w:rsidRPr="00C00FDD">
        <w:rPr>
          <w:b/>
        </w:rPr>
        <w:t xml:space="preserve"> projets d’écoles internationales en ligne p</w:t>
      </w:r>
      <w:r w:rsidR="000A36B6">
        <w:rPr>
          <w:b/>
        </w:rPr>
        <w:t>euvent</w:t>
      </w:r>
      <w:r w:rsidR="00582856" w:rsidRPr="00C00FDD">
        <w:rPr>
          <w:b/>
        </w:rPr>
        <w:t xml:space="preserve"> également être soutenus</w:t>
      </w:r>
      <w:r w:rsidR="00582856">
        <w:t xml:space="preserve">. </w:t>
      </w:r>
    </w:p>
    <w:p w14:paraId="620CBA36" w14:textId="2AAC2BCF" w:rsidR="00747A82" w:rsidRPr="006D07FB" w:rsidRDefault="00FF5478" w:rsidP="006D07FB">
      <w:pPr>
        <w:spacing w:after="120"/>
        <w:jc w:val="both"/>
      </w:pPr>
      <w:r>
        <w:t>Des conseils sur la</w:t>
      </w:r>
      <w:r w:rsidR="00D52F5B">
        <w:t xml:space="preserve"> logistique et </w:t>
      </w:r>
      <w:r>
        <w:t>l’</w:t>
      </w:r>
      <w:r w:rsidR="00D52F5B">
        <w:t xml:space="preserve">organisation </w:t>
      </w:r>
      <w:r w:rsidR="000A36B6">
        <w:t>peu</w:t>
      </w:r>
      <w:r>
        <w:t>ven</w:t>
      </w:r>
      <w:r w:rsidR="000A36B6">
        <w:t>t</w:t>
      </w:r>
      <w:r w:rsidR="00D52F5B">
        <w:t xml:space="preserve"> également être fourni</w:t>
      </w:r>
      <w:r>
        <w:t>s</w:t>
      </w:r>
      <w:r w:rsidR="00D52F5B">
        <w:t xml:space="preserve"> par la </w:t>
      </w:r>
      <w:r w:rsidR="0076239F">
        <w:t xml:space="preserve">Direction des relations internationales et européennes </w:t>
      </w:r>
      <w:r w:rsidR="00F417E5">
        <w:t xml:space="preserve">de l’Université Paris-Saclay </w:t>
      </w:r>
      <w:r w:rsidR="0076239F">
        <w:t>(</w:t>
      </w:r>
      <w:r w:rsidR="00D52F5B">
        <w:t>DRIE</w:t>
      </w:r>
      <w:r w:rsidR="0076239F">
        <w:t>)</w:t>
      </w:r>
      <w:r>
        <w:t>.</w:t>
      </w:r>
    </w:p>
    <w:p w14:paraId="540CE038" w14:textId="2352D343" w:rsidR="00FF579C" w:rsidRPr="008A05AA" w:rsidRDefault="008A05AA" w:rsidP="008A05AA">
      <w:pPr>
        <w:pBdr>
          <w:bottom w:val="single" w:sz="4" w:space="0" w:color="auto"/>
        </w:pBdr>
        <w:spacing w:before="360"/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Critères d’éligibilité</w:t>
      </w:r>
    </w:p>
    <w:p w14:paraId="413352E5" w14:textId="4CBAC644" w:rsidR="003E76BD" w:rsidRDefault="00B70BA3" w:rsidP="00FF579C">
      <w:pPr>
        <w:spacing w:after="120"/>
        <w:jc w:val="both"/>
        <w:rPr>
          <w:b/>
          <w:color w:val="00544E"/>
        </w:rPr>
      </w:pPr>
      <w:r>
        <w:rPr>
          <w:b/>
          <w:color w:val="00544E"/>
        </w:rPr>
        <w:t>Pour être éligibles, les projets d</w:t>
      </w:r>
      <w:r w:rsidR="000A36B6">
        <w:rPr>
          <w:b/>
          <w:color w:val="00544E"/>
        </w:rPr>
        <w:t>oivent</w:t>
      </w:r>
      <w:r>
        <w:rPr>
          <w:b/>
          <w:color w:val="00544E"/>
        </w:rPr>
        <w:t xml:space="preserve"> répondre aux critères suivants</w:t>
      </w:r>
      <w:r w:rsidR="00FF579C" w:rsidRPr="004A1C91">
        <w:rPr>
          <w:b/>
          <w:color w:val="00544E"/>
        </w:rPr>
        <w:t> :</w:t>
      </w:r>
      <w:r w:rsidR="003E76BD" w:rsidRPr="004A1C91">
        <w:rPr>
          <w:b/>
          <w:color w:val="00544E"/>
        </w:rPr>
        <w:t xml:space="preserve"> </w:t>
      </w:r>
    </w:p>
    <w:p w14:paraId="302BA867" w14:textId="4AEC242D" w:rsidR="00B70BA3" w:rsidRDefault="00B70BA3" w:rsidP="008A05AA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</w:pPr>
      <w:r w:rsidRPr="0061087C">
        <w:rPr>
          <w:b/>
          <w:u w:val="single"/>
        </w:rPr>
        <w:t>Thématiques :</w:t>
      </w:r>
      <w:r>
        <w:t xml:space="preserve"> tous les domaines de fo</w:t>
      </w:r>
      <w:r w:rsidR="003A382F">
        <w:t>rmation et de recherche couvert</w:t>
      </w:r>
      <w:r>
        <w:t>s par l’Université Paris-Saclay</w:t>
      </w:r>
      <w:r w:rsidR="003A382F">
        <w:t>.</w:t>
      </w:r>
    </w:p>
    <w:p w14:paraId="03D8D2BB" w14:textId="43DC4B9E" w:rsidR="00B70BA3" w:rsidRDefault="00B70BA3" w:rsidP="008A05AA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</w:pPr>
      <w:r w:rsidRPr="0061087C">
        <w:rPr>
          <w:b/>
          <w:u w:val="single"/>
        </w:rPr>
        <w:t>Durée de l’école :</w:t>
      </w:r>
      <w:r>
        <w:t xml:space="preserve"> de 2 à 15 jours pour une école en ligne ; de </w:t>
      </w:r>
      <w:r w:rsidR="003A382F">
        <w:t>3</w:t>
      </w:r>
      <w:r>
        <w:t xml:space="preserve"> jours à 5 semaines pour une école en présentiel</w:t>
      </w:r>
      <w:r w:rsidR="003A382F">
        <w:t>.</w:t>
      </w:r>
    </w:p>
    <w:p w14:paraId="4A9334FB" w14:textId="186B6BC7" w:rsidR="00582856" w:rsidRDefault="00582856" w:rsidP="008A05AA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</w:pPr>
      <w:r w:rsidRPr="0061087C">
        <w:rPr>
          <w:b/>
          <w:u w:val="single"/>
        </w:rPr>
        <w:lastRenderedPageBreak/>
        <w:t>Dimension internationale :</w:t>
      </w:r>
      <w:r>
        <w:t xml:space="preserve"> le projet d</w:t>
      </w:r>
      <w:r w:rsidR="000A36B6">
        <w:t>oit</w:t>
      </w:r>
      <w:r>
        <w:t xml:space="preserve"> idéalement impliquer un partenaire international, ou </w:t>
      </w:r>
      <w:r w:rsidR="00F73BF7">
        <w:t xml:space="preserve">présenter </w:t>
      </w:r>
      <w:r>
        <w:t>une dimension internationale forte (participant</w:t>
      </w:r>
      <w:r w:rsidR="00482A42">
        <w:t>s</w:t>
      </w:r>
      <w:r w:rsidR="00F73BF7">
        <w:t xml:space="preserve"> internationaux</w:t>
      </w:r>
      <w:r>
        <w:t>, intervenants internationaux</w:t>
      </w:r>
      <w:r w:rsidR="003055A8">
        <w:t>, organisation en partenariat</w:t>
      </w:r>
      <w:r>
        <w:t xml:space="preserve">…). </w:t>
      </w:r>
      <w:r w:rsidR="0061087C">
        <w:t xml:space="preserve">Les projets impliquant </w:t>
      </w:r>
      <w:r w:rsidR="003A382F">
        <w:t>un ou de</w:t>
      </w:r>
      <w:r w:rsidR="0061087C">
        <w:t xml:space="preserve">s partenaires de </w:t>
      </w:r>
      <w:r w:rsidR="00803E96">
        <w:t xml:space="preserve">l’Alliance </w:t>
      </w:r>
      <w:r w:rsidR="0061087C">
        <w:t xml:space="preserve">européenne </w:t>
      </w:r>
      <w:hyperlink r:id="rId8" w:history="1">
        <w:r w:rsidR="0061087C" w:rsidRPr="00803E96">
          <w:rPr>
            <w:rStyle w:val="Lienhypertexte"/>
          </w:rPr>
          <w:t>EUGLOH</w:t>
        </w:r>
      </w:hyperlink>
      <w:r w:rsidR="00803E96">
        <w:t xml:space="preserve"> coordonnée par </w:t>
      </w:r>
      <w:proofErr w:type="spellStart"/>
      <w:r w:rsidR="00803E96">
        <w:t>UPSaclay</w:t>
      </w:r>
      <w:proofErr w:type="spellEnd"/>
      <w:r w:rsidR="00803E96">
        <w:t xml:space="preserve"> </w:t>
      </w:r>
      <w:r w:rsidR="0061087C">
        <w:t xml:space="preserve">(Lund </w:t>
      </w:r>
      <w:proofErr w:type="spellStart"/>
      <w:r w:rsidR="0061087C">
        <w:t>University</w:t>
      </w:r>
      <w:proofErr w:type="spellEnd"/>
      <w:r w:rsidR="0061087C">
        <w:t xml:space="preserve">, LMU Munich, </w:t>
      </w:r>
      <w:proofErr w:type="spellStart"/>
      <w:r w:rsidR="0061087C">
        <w:t>University</w:t>
      </w:r>
      <w:proofErr w:type="spellEnd"/>
      <w:r w:rsidR="0061087C">
        <w:t xml:space="preserve"> of Porto, </w:t>
      </w:r>
      <w:proofErr w:type="spellStart"/>
      <w:r w:rsidR="0061087C">
        <w:t>University</w:t>
      </w:r>
      <w:proofErr w:type="spellEnd"/>
      <w:r w:rsidR="0061087C">
        <w:t xml:space="preserve"> of Szeged</w:t>
      </w:r>
      <w:r w:rsidR="00701247">
        <w:t xml:space="preserve">, </w:t>
      </w:r>
      <w:proofErr w:type="spellStart"/>
      <w:r w:rsidR="00701247">
        <w:t>University</w:t>
      </w:r>
      <w:proofErr w:type="spellEnd"/>
      <w:r w:rsidR="00701247">
        <w:t xml:space="preserve"> of Alcalá, </w:t>
      </w:r>
      <w:proofErr w:type="spellStart"/>
      <w:r w:rsidR="00701247">
        <w:t>Hamburg</w:t>
      </w:r>
      <w:proofErr w:type="spellEnd"/>
      <w:r w:rsidR="00803E96">
        <w:t xml:space="preserve"> </w:t>
      </w:r>
      <w:proofErr w:type="spellStart"/>
      <w:r w:rsidR="00803E96">
        <w:t>Universität</w:t>
      </w:r>
      <w:proofErr w:type="spellEnd"/>
      <w:r w:rsidR="00701247">
        <w:t xml:space="preserve">, </w:t>
      </w:r>
      <w:proofErr w:type="spellStart"/>
      <w:r w:rsidR="00701247">
        <w:t>University</w:t>
      </w:r>
      <w:proofErr w:type="spellEnd"/>
      <w:r w:rsidR="00701247">
        <w:t xml:space="preserve"> of </w:t>
      </w:r>
      <w:proofErr w:type="spellStart"/>
      <w:r w:rsidR="00701247">
        <w:t>Novi</w:t>
      </w:r>
      <w:proofErr w:type="spellEnd"/>
      <w:r w:rsidR="00701247">
        <w:t xml:space="preserve"> </w:t>
      </w:r>
      <w:proofErr w:type="spellStart"/>
      <w:r w:rsidR="00701247">
        <w:t>Sad</w:t>
      </w:r>
      <w:proofErr w:type="spellEnd"/>
      <w:r w:rsidR="00701247">
        <w:t xml:space="preserve">, </w:t>
      </w:r>
      <w:proofErr w:type="spellStart"/>
      <w:r w:rsidR="00803E96">
        <w:t>UiT</w:t>
      </w:r>
      <w:proofErr w:type="spellEnd"/>
      <w:r w:rsidR="00803E96">
        <w:t xml:space="preserve"> The </w:t>
      </w:r>
      <w:proofErr w:type="spellStart"/>
      <w:r w:rsidR="00803E96">
        <w:t>Arctic</w:t>
      </w:r>
      <w:proofErr w:type="spellEnd"/>
      <w:r w:rsidR="00803E96">
        <w:t xml:space="preserve"> </w:t>
      </w:r>
      <w:proofErr w:type="spellStart"/>
      <w:r w:rsidR="00803E96">
        <w:t>University</w:t>
      </w:r>
      <w:proofErr w:type="spellEnd"/>
      <w:r w:rsidR="00803E96">
        <w:t xml:space="preserve"> of </w:t>
      </w:r>
      <w:proofErr w:type="spellStart"/>
      <w:r w:rsidR="00803E96">
        <w:t>Norway</w:t>
      </w:r>
      <w:proofErr w:type="spellEnd"/>
      <w:r w:rsidR="0061087C">
        <w:t xml:space="preserve">) </w:t>
      </w:r>
      <w:r w:rsidR="006865B6">
        <w:t xml:space="preserve">font l’objet d’une attention particulière.  </w:t>
      </w:r>
    </w:p>
    <w:p w14:paraId="681CF864" w14:textId="77FABF53" w:rsidR="00582856" w:rsidRDefault="00582856" w:rsidP="00582856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</w:pPr>
      <w:r w:rsidRPr="003A382F">
        <w:rPr>
          <w:b/>
          <w:u w:val="single"/>
        </w:rPr>
        <w:t>Localisation :</w:t>
      </w:r>
      <w:r>
        <w:t xml:space="preserve"> </w:t>
      </w:r>
      <w:r w:rsidR="003A382F">
        <w:t>en ligne ou sur site. Si l’école est en présentiel, elle d</w:t>
      </w:r>
      <w:r w:rsidR="000A36B6">
        <w:t>oit</w:t>
      </w:r>
      <w:r w:rsidR="003A382F">
        <w:t xml:space="preserve"> </w:t>
      </w:r>
      <w:r w:rsidR="00D25D30">
        <w:t>obligatoirement</w:t>
      </w:r>
      <w:r w:rsidR="003A382F">
        <w:t xml:space="preserve"> se tenir</w:t>
      </w:r>
      <w:r>
        <w:t xml:space="preserve"> </w:t>
      </w:r>
      <w:r w:rsidR="00D25D30">
        <w:t>sur le campus de</w:t>
      </w:r>
      <w:r>
        <w:t xml:space="preserve"> l’Université Paris-Saclay</w:t>
      </w:r>
      <w:r w:rsidR="00D25D30">
        <w:t>, ou chez le partenaire international</w:t>
      </w:r>
      <w:r w:rsidR="00803E96">
        <w:t xml:space="preserve"> à la </w:t>
      </w:r>
      <w:r w:rsidR="00D25D30">
        <w:t xml:space="preserve">condition que l’édition suivante soit organisée sur le campus de l’Université Paris-Saclay dans les </w:t>
      </w:r>
      <w:r w:rsidR="00803E96">
        <w:t>deux</w:t>
      </w:r>
      <w:r w:rsidR="00D25D30">
        <w:t xml:space="preserve"> années</w:t>
      </w:r>
      <w:r w:rsidR="00803E96">
        <w:t xml:space="preserve"> à venir.</w:t>
      </w:r>
    </w:p>
    <w:p w14:paraId="481BA886" w14:textId="26ED9E2B" w:rsidR="00582856" w:rsidRDefault="00582856" w:rsidP="00582856">
      <w:pPr>
        <w:pStyle w:val="Paragraphedeliste"/>
        <w:numPr>
          <w:ilvl w:val="0"/>
          <w:numId w:val="6"/>
        </w:numPr>
        <w:spacing w:after="120"/>
        <w:contextualSpacing w:val="0"/>
        <w:jc w:val="both"/>
      </w:pPr>
      <w:r w:rsidRPr="003A382F">
        <w:rPr>
          <w:b/>
          <w:u w:val="single"/>
        </w:rPr>
        <w:t>Participants :</w:t>
      </w:r>
      <w:r>
        <w:t xml:space="preserve"> tous niveaux (étudiants, doctorants, chercheurs). </w:t>
      </w:r>
      <w:r w:rsidR="003A382F">
        <w:t>L</w:t>
      </w:r>
      <w:r>
        <w:t>es participants de l’Université Paris-Saclay d</w:t>
      </w:r>
      <w:r w:rsidR="000A36B6">
        <w:t>oivent</w:t>
      </w:r>
      <w:r w:rsidR="003A382F">
        <w:t xml:space="preserve"> idéalement</w:t>
      </w:r>
      <w:r>
        <w:t xml:space="preserve"> représenter </w:t>
      </w:r>
      <w:r w:rsidR="0061087C">
        <w:t xml:space="preserve">au minimum </w:t>
      </w:r>
      <w:r>
        <w:t xml:space="preserve">la moitié des </w:t>
      </w:r>
      <w:r w:rsidR="003A382F">
        <w:t>participant</w:t>
      </w:r>
      <w:r>
        <w:t>s en provenance d’un établissement français.</w:t>
      </w:r>
    </w:p>
    <w:p w14:paraId="5A79DE81" w14:textId="46B2D008" w:rsidR="00002085" w:rsidRPr="008A05AA" w:rsidRDefault="008A05AA" w:rsidP="008A05AA">
      <w:pPr>
        <w:pBdr>
          <w:bottom w:val="single" w:sz="4" w:space="0" w:color="auto"/>
        </w:pBdr>
        <w:spacing w:before="360"/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Montant et modalités de soutien</w:t>
      </w:r>
    </w:p>
    <w:p w14:paraId="61D76B81" w14:textId="602224F1" w:rsidR="003055A8" w:rsidRDefault="007A4A6F" w:rsidP="00FF579C">
      <w:pPr>
        <w:spacing w:after="120"/>
        <w:jc w:val="both"/>
      </w:pPr>
      <w:r>
        <w:t xml:space="preserve">Le montant attribué </w:t>
      </w:r>
      <w:r w:rsidR="00EA483A">
        <w:t xml:space="preserve">par la </w:t>
      </w:r>
      <w:r w:rsidR="00F417E5">
        <w:t>DRIE</w:t>
      </w:r>
      <w:r w:rsidR="00EA483A">
        <w:t xml:space="preserve"> </w:t>
      </w:r>
      <w:r>
        <w:t>pour chaque école</w:t>
      </w:r>
      <w:r w:rsidR="00BA0465">
        <w:t xml:space="preserve"> thématique</w:t>
      </w:r>
      <w:r>
        <w:t xml:space="preserve"> </w:t>
      </w:r>
      <w:r w:rsidR="00BA0465">
        <w:t>internationale</w:t>
      </w:r>
      <w:r w:rsidR="00EB1ED0">
        <w:t xml:space="preserve"> </w:t>
      </w:r>
      <w:r w:rsidR="003055A8">
        <w:t>varie en fonction de la nature de l’école :</w:t>
      </w:r>
    </w:p>
    <w:p w14:paraId="44F2C39B" w14:textId="64F6F5D8" w:rsidR="003055A8" w:rsidRPr="003055A8" w:rsidRDefault="003055A8" w:rsidP="0097242E">
      <w:pPr>
        <w:pStyle w:val="Paragraphedeliste"/>
        <w:numPr>
          <w:ilvl w:val="0"/>
          <w:numId w:val="6"/>
        </w:numPr>
        <w:spacing w:after="120"/>
        <w:jc w:val="both"/>
        <w:rPr>
          <w:bCs/>
        </w:rPr>
      </w:pPr>
      <w:proofErr w:type="gramStart"/>
      <w:r>
        <w:t>un</w:t>
      </w:r>
      <w:proofErr w:type="gramEnd"/>
      <w:r>
        <w:t xml:space="preserve"> montant </w:t>
      </w:r>
      <w:r w:rsidR="00D67FE2" w:rsidRPr="00C20F55">
        <w:rPr>
          <w:bCs/>
        </w:rPr>
        <w:t xml:space="preserve">maximum </w:t>
      </w:r>
      <w:r w:rsidRPr="00C20F55">
        <w:rPr>
          <w:bCs/>
        </w:rPr>
        <w:t xml:space="preserve">de </w:t>
      </w:r>
      <w:r w:rsidR="00204730" w:rsidRPr="00C20F55">
        <w:rPr>
          <w:bCs/>
        </w:rPr>
        <w:t>5</w:t>
      </w:r>
      <w:r w:rsidR="0061087C" w:rsidRPr="00C20F55">
        <w:rPr>
          <w:bCs/>
        </w:rPr>
        <w:t> </w:t>
      </w:r>
      <w:r w:rsidR="00EB1ED0" w:rsidRPr="00C20F55">
        <w:rPr>
          <w:bCs/>
        </w:rPr>
        <w:t>000</w:t>
      </w:r>
      <w:r w:rsidR="0061087C" w:rsidRPr="00C20F55">
        <w:rPr>
          <w:bCs/>
        </w:rPr>
        <w:t xml:space="preserve"> </w:t>
      </w:r>
      <w:r w:rsidR="00EB1ED0" w:rsidRPr="00C20F55">
        <w:rPr>
          <w:bCs/>
        </w:rPr>
        <w:t>€</w:t>
      </w:r>
      <w:r w:rsidRPr="00C20F55">
        <w:rPr>
          <w:bCs/>
        </w:rPr>
        <w:t xml:space="preserve"> pour les </w:t>
      </w:r>
      <w:r w:rsidRPr="00C20F55">
        <w:rPr>
          <w:b/>
          <w:i/>
          <w:iCs/>
        </w:rPr>
        <w:t>nouvelles écoles</w:t>
      </w:r>
      <w:r w:rsidR="00C20F55" w:rsidRPr="00C20F55">
        <w:rPr>
          <w:bCs/>
        </w:rPr>
        <w:t xml:space="preserve"> </w:t>
      </w:r>
      <w:r w:rsidR="00C20F55">
        <w:rPr>
          <w:bCs/>
        </w:rPr>
        <w:t>o</w:t>
      </w:r>
      <w:r w:rsidRPr="003055A8">
        <w:rPr>
          <w:bCs/>
        </w:rPr>
        <w:t xml:space="preserve">rganisées de manière ponctuelle sur une thématique émergente, permettant de faire intervenir des EC pour leur faire découvrir </w:t>
      </w:r>
      <w:proofErr w:type="spellStart"/>
      <w:r w:rsidRPr="003055A8">
        <w:rPr>
          <w:bCs/>
        </w:rPr>
        <w:t>UPSaclay</w:t>
      </w:r>
      <w:proofErr w:type="spellEnd"/>
      <w:r w:rsidR="00C20F55">
        <w:rPr>
          <w:bCs/>
        </w:rPr>
        <w:t xml:space="preserve"> et </w:t>
      </w:r>
      <w:r w:rsidRPr="003055A8">
        <w:rPr>
          <w:bCs/>
        </w:rPr>
        <w:t>de tester des pédagogies innovante</w:t>
      </w:r>
      <w:r w:rsidR="00C20F55">
        <w:rPr>
          <w:bCs/>
        </w:rPr>
        <w:t xml:space="preserve">s. </w:t>
      </w:r>
    </w:p>
    <w:p w14:paraId="53269B12" w14:textId="5520FE72" w:rsidR="00C20F55" w:rsidRPr="00C20F55" w:rsidRDefault="00C20F55" w:rsidP="000E4156">
      <w:pPr>
        <w:pStyle w:val="Paragraphedeliste"/>
        <w:numPr>
          <w:ilvl w:val="0"/>
          <w:numId w:val="6"/>
        </w:numPr>
        <w:spacing w:after="120"/>
        <w:jc w:val="both"/>
        <w:rPr>
          <w:bCs/>
        </w:rPr>
      </w:pPr>
      <w:proofErr w:type="gramStart"/>
      <w:r w:rsidRPr="00C20F55">
        <w:rPr>
          <w:bCs/>
        </w:rPr>
        <w:t>un</w:t>
      </w:r>
      <w:proofErr w:type="gramEnd"/>
      <w:r w:rsidRPr="00C20F55">
        <w:rPr>
          <w:bCs/>
        </w:rPr>
        <w:t xml:space="preserve"> montant maximum de 8 000€ pour les </w:t>
      </w:r>
      <w:r w:rsidRPr="00C20F55">
        <w:rPr>
          <w:b/>
          <w:i/>
          <w:iCs/>
        </w:rPr>
        <w:t>écoles récurrentes</w:t>
      </w:r>
      <w:r w:rsidRPr="00C20F55">
        <w:rPr>
          <w:bCs/>
        </w:rPr>
        <w:t xml:space="preserve"> (par ex tous les 2 ans), visant à renforcer des partenariats stratégiques déjà établis, pour approfondir la coopération. </w:t>
      </w:r>
      <w:r>
        <w:rPr>
          <w:bCs/>
        </w:rPr>
        <w:t>Le c</w:t>
      </w:r>
      <w:r w:rsidRPr="00C20F55">
        <w:rPr>
          <w:bCs/>
        </w:rPr>
        <w:t>ofinancement permett</w:t>
      </w:r>
      <w:r>
        <w:rPr>
          <w:bCs/>
        </w:rPr>
        <w:t>ra</w:t>
      </w:r>
      <w:r w:rsidRPr="00C20F55">
        <w:rPr>
          <w:bCs/>
        </w:rPr>
        <w:t xml:space="preserve"> notamment de prendre en charge l’inscription de quelques étudiants de ces partenaires stratégiques. </w:t>
      </w:r>
    </w:p>
    <w:p w14:paraId="2E6D1CB8" w14:textId="363935B6" w:rsidR="00C20F55" w:rsidRDefault="0076239F" w:rsidP="00C20F55">
      <w:pPr>
        <w:spacing w:after="120"/>
        <w:jc w:val="both"/>
        <w:rPr>
          <w:bCs/>
        </w:rPr>
      </w:pPr>
      <w:r>
        <w:rPr>
          <w:bCs/>
        </w:rPr>
        <w:t xml:space="preserve">La </w:t>
      </w:r>
      <w:r w:rsidR="00F417E5">
        <w:rPr>
          <w:bCs/>
        </w:rPr>
        <w:t>DRIE affectera les projets dans la catégorie correspondante en fonction de ces critères, et appliquera le plafond de cofinancement correspondant.</w:t>
      </w:r>
    </w:p>
    <w:p w14:paraId="1059E32B" w14:textId="0B17E306" w:rsidR="00EB1ED0" w:rsidRDefault="00EA483A" w:rsidP="00C20F55">
      <w:pPr>
        <w:spacing w:after="120"/>
        <w:jc w:val="both"/>
      </w:pPr>
      <w:r>
        <w:t>Les porteurs de projet p</w:t>
      </w:r>
      <w:r w:rsidR="000A36B6">
        <w:t>euvent</w:t>
      </w:r>
      <w:r>
        <w:t xml:space="preserve"> cumuler ce soutien avec les autres aides de l’Université Paris-Saclay et sont invités à se rapprocher des </w:t>
      </w:r>
      <w:r w:rsidR="00456B84">
        <w:t xml:space="preserve">composantes et </w:t>
      </w:r>
      <w:r>
        <w:t xml:space="preserve">structures </w:t>
      </w:r>
      <w:r w:rsidR="00456B84">
        <w:t xml:space="preserve">internes </w:t>
      </w:r>
      <w:r>
        <w:t xml:space="preserve">concernées </w:t>
      </w:r>
      <w:r w:rsidR="00D3613A">
        <w:t>pour en faire la demande</w:t>
      </w:r>
      <w:r>
        <w:t xml:space="preserve">. </w:t>
      </w:r>
      <w:r w:rsidR="00E077E8">
        <w:t>L’aide attribuée par l’Université Paris-Saclay</w:t>
      </w:r>
      <w:r w:rsidR="00D761F1">
        <w:t>, qui</w:t>
      </w:r>
      <w:r w:rsidR="00E077E8">
        <w:t xml:space="preserve"> </w:t>
      </w:r>
      <w:r w:rsidR="00F556E7" w:rsidRPr="003055A8">
        <w:rPr>
          <w:b/>
        </w:rPr>
        <w:t>ne peut représenter plus de 50% du coût total de l’école thématique</w:t>
      </w:r>
      <w:r w:rsidR="00D761F1" w:rsidRPr="003055A8">
        <w:rPr>
          <w:b/>
        </w:rPr>
        <w:t xml:space="preserve">, </w:t>
      </w:r>
      <w:r w:rsidR="00E077E8">
        <w:t>p</w:t>
      </w:r>
      <w:r w:rsidR="000A36B6">
        <w:t>eut</w:t>
      </w:r>
      <w:r w:rsidR="00E077E8">
        <w:t xml:space="preserve"> aussi venir en complément d’autres subventions (ambassades, régions, départemen</w:t>
      </w:r>
      <w:r w:rsidR="002C3E51">
        <w:t xml:space="preserve">ts, institutions publiques, …), </w:t>
      </w:r>
    </w:p>
    <w:p w14:paraId="636CAD1B" w14:textId="77777777" w:rsidR="00EB1ED0" w:rsidRPr="000D2363" w:rsidRDefault="00EB1ED0" w:rsidP="00FF579C">
      <w:pPr>
        <w:spacing w:after="120"/>
        <w:jc w:val="both"/>
      </w:pPr>
      <w:r w:rsidRPr="000D2363">
        <w:t xml:space="preserve">Les dépenses éligibles au cofinancement de l’Université Paris-Saclay concernent : </w:t>
      </w:r>
    </w:p>
    <w:p w14:paraId="2FDDE729" w14:textId="346F2A63" w:rsidR="000E4741" w:rsidRPr="000D2363" w:rsidRDefault="007A4A6F" w:rsidP="00FF579C">
      <w:pPr>
        <w:pStyle w:val="Paragraphedeliste"/>
        <w:numPr>
          <w:ilvl w:val="0"/>
          <w:numId w:val="2"/>
        </w:numPr>
        <w:spacing w:after="120"/>
        <w:jc w:val="both"/>
      </w:pPr>
      <w:r w:rsidRPr="000D2363">
        <w:t>L</w:t>
      </w:r>
      <w:r w:rsidR="00F30993" w:rsidRPr="000D2363">
        <w:t xml:space="preserve">es </w:t>
      </w:r>
      <w:r w:rsidRPr="000D2363">
        <w:t>frais de voyage et de séjour</w:t>
      </w:r>
      <w:r w:rsidR="00AD0B76">
        <w:t xml:space="preserve"> d’experts scientifiques</w:t>
      </w:r>
      <w:r w:rsidR="0061087C">
        <w:t xml:space="preserve"> et/ou des participants</w:t>
      </w:r>
      <w:r w:rsidR="00AD0B76">
        <w:t> ;</w:t>
      </w:r>
      <w:r w:rsidR="00F30993" w:rsidRPr="000D2363">
        <w:t xml:space="preserve"> </w:t>
      </w:r>
    </w:p>
    <w:p w14:paraId="56532055" w14:textId="22F72397" w:rsidR="00D30BA4" w:rsidRPr="000D2363" w:rsidRDefault="008F7070" w:rsidP="00FF579C">
      <w:pPr>
        <w:pStyle w:val="Paragraphedeliste"/>
        <w:numPr>
          <w:ilvl w:val="0"/>
          <w:numId w:val="2"/>
        </w:numPr>
        <w:spacing w:after="120"/>
        <w:jc w:val="both"/>
      </w:pPr>
      <w:r w:rsidRPr="000D2363">
        <w:t xml:space="preserve">Les frais de </w:t>
      </w:r>
      <w:r w:rsidR="0061087C">
        <w:t xml:space="preserve">location </w:t>
      </w:r>
      <w:r w:rsidRPr="000D2363">
        <w:t>de salles</w:t>
      </w:r>
      <w:r w:rsidR="00D30BA4" w:rsidRPr="000D2363">
        <w:t> ;</w:t>
      </w:r>
    </w:p>
    <w:p w14:paraId="3F3ACB9C" w14:textId="419F57EB" w:rsidR="00034180" w:rsidRDefault="00D30BA4" w:rsidP="006E6DE5">
      <w:pPr>
        <w:pStyle w:val="Paragraphedeliste"/>
        <w:numPr>
          <w:ilvl w:val="0"/>
          <w:numId w:val="2"/>
        </w:numPr>
        <w:spacing w:after="120"/>
        <w:jc w:val="both"/>
      </w:pPr>
      <w:r w:rsidRPr="000D2363">
        <w:t xml:space="preserve">Les frais </w:t>
      </w:r>
      <w:r w:rsidR="008F7070" w:rsidRPr="000D2363">
        <w:t xml:space="preserve">de </w:t>
      </w:r>
      <w:r w:rsidR="0061087C">
        <w:t xml:space="preserve">restauration ; </w:t>
      </w:r>
    </w:p>
    <w:p w14:paraId="2435DE56" w14:textId="48477A89" w:rsidR="0061087C" w:rsidRPr="000D2363" w:rsidRDefault="0061087C" w:rsidP="006E6DE5">
      <w:pPr>
        <w:pStyle w:val="Paragraphedeliste"/>
        <w:numPr>
          <w:ilvl w:val="0"/>
          <w:numId w:val="2"/>
        </w:numPr>
        <w:spacing w:after="120"/>
        <w:jc w:val="both"/>
      </w:pPr>
      <w:r>
        <w:t>Les frais de mise en place virtuelle de l’école (</w:t>
      </w:r>
      <w:r w:rsidR="00D244A1">
        <w:t>outils numériques</w:t>
      </w:r>
      <w:r w:rsidR="00D52F5B">
        <w:t>, activités culturelles et sociales</w:t>
      </w:r>
      <w:r w:rsidR="00C00FDD">
        <w:t xml:space="preserve"> virtuelles</w:t>
      </w:r>
      <w:r w:rsidR="00D52F5B">
        <w:t>…</w:t>
      </w:r>
      <w:r>
        <w:t xml:space="preserve">). </w:t>
      </w:r>
    </w:p>
    <w:p w14:paraId="701C3D5E" w14:textId="77777777" w:rsidR="000769C4" w:rsidRDefault="000769C4">
      <w:pPr>
        <w:rPr>
          <w:b/>
          <w:color w:val="630042"/>
          <w:sz w:val="28"/>
          <w:szCs w:val="28"/>
        </w:rPr>
      </w:pPr>
      <w:r>
        <w:rPr>
          <w:b/>
          <w:color w:val="630042"/>
          <w:sz w:val="28"/>
          <w:szCs w:val="28"/>
        </w:rPr>
        <w:br w:type="page"/>
      </w:r>
    </w:p>
    <w:p w14:paraId="503627E9" w14:textId="501C7E0B" w:rsidR="004A0E22" w:rsidRPr="008A05AA" w:rsidRDefault="008A05AA" w:rsidP="008A05AA">
      <w:pPr>
        <w:pBdr>
          <w:bottom w:val="single" w:sz="4" w:space="0" w:color="auto"/>
        </w:pBdr>
        <w:spacing w:before="360"/>
        <w:rPr>
          <w:rFonts w:ascii="Calibri" w:hAnsi="Calibri" w:cs="Times New Roman"/>
          <w:b/>
          <w:bCs/>
          <w:color w:val="63003C"/>
          <w:sz w:val="28"/>
        </w:rPr>
      </w:pPr>
      <w:r>
        <w:rPr>
          <w:b/>
          <w:color w:val="630042"/>
          <w:sz w:val="28"/>
          <w:szCs w:val="28"/>
        </w:rPr>
        <w:lastRenderedPageBreak/>
        <w:t xml:space="preserve">Critères de </w:t>
      </w:r>
      <w:r w:rsidRPr="008A05AA">
        <w:rPr>
          <w:rFonts w:ascii="Calibri" w:hAnsi="Calibri" w:cs="Times New Roman"/>
          <w:b/>
          <w:bCs/>
          <w:color w:val="63003C"/>
          <w:sz w:val="28"/>
        </w:rPr>
        <w:t>sélection des projets</w:t>
      </w:r>
    </w:p>
    <w:p w14:paraId="22D0B9BA" w14:textId="3C273421" w:rsidR="00155EC3" w:rsidRPr="00155EC3" w:rsidRDefault="004A0E22" w:rsidP="00155EC3">
      <w:pPr>
        <w:spacing w:after="120"/>
      </w:pPr>
      <w:r>
        <w:t xml:space="preserve">La subvention </w:t>
      </w:r>
      <w:r w:rsidR="000A36B6">
        <w:t xml:space="preserve">est </w:t>
      </w:r>
      <w:r>
        <w:t xml:space="preserve">attribuée sur la base des critères suivants : </w:t>
      </w:r>
    </w:p>
    <w:p w14:paraId="4AAB3B3F" w14:textId="7350F2E8" w:rsidR="00D244A1" w:rsidRDefault="00D244A1" w:rsidP="00D244A1">
      <w:pPr>
        <w:pStyle w:val="Paragraphedeliste"/>
        <w:numPr>
          <w:ilvl w:val="0"/>
          <w:numId w:val="2"/>
        </w:numPr>
        <w:spacing w:after="120"/>
        <w:jc w:val="both"/>
      </w:pPr>
      <w:r>
        <w:t>La pertinence scientifique du projet et l’adéquation entre le programme et les objectifs recherchés (contexte/concept/objectifs/programme) ;</w:t>
      </w:r>
    </w:p>
    <w:p w14:paraId="1D0C3ACB" w14:textId="545215D7" w:rsidR="00E455CA" w:rsidRDefault="00E455CA" w:rsidP="003937BA">
      <w:pPr>
        <w:pStyle w:val="Paragraphedeliste"/>
        <w:numPr>
          <w:ilvl w:val="0"/>
          <w:numId w:val="2"/>
        </w:numPr>
        <w:spacing w:after="120"/>
        <w:jc w:val="both"/>
      </w:pPr>
      <w:r w:rsidRPr="004A1C91">
        <w:t>La qualité du partenariat international</w:t>
      </w:r>
      <w:r w:rsidR="00C00FDD">
        <w:t xml:space="preserve">, </w:t>
      </w:r>
      <w:r>
        <w:t>et/ou l’excellence, la renommée des intervenants internationaux (le cas échéant) ;</w:t>
      </w:r>
    </w:p>
    <w:p w14:paraId="7C9AE770" w14:textId="4707B8BE" w:rsidR="000D2363" w:rsidRPr="004A1C91" w:rsidRDefault="000D2363" w:rsidP="00FF579C">
      <w:pPr>
        <w:pStyle w:val="Paragraphedeliste"/>
        <w:numPr>
          <w:ilvl w:val="0"/>
          <w:numId w:val="2"/>
        </w:numPr>
        <w:spacing w:after="120"/>
        <w:jc w:val="both"/>
      </w:pPr>
      <w:r w:rsidRPr="004A1C91">
        <w:t xml:space="preserve">Le </w:t>
      </w:r>
      <w:r w:rsidR="000A36B6">
        <w:t>caractère</w:t>
      </w:r>
      <w:r w:rsidRPr="004A1C91">
        <w:t xml:space="preserve"> novateur du modèle pédagogique ;</w:t>
      </w:r>
    </w:p>
    <w:p w14:paraId="3A95E960" w14:textId="30D75643" w:rsidR="000D2363" w:rsidRPr="004A1C91" w:rsidRDefault="000D2363" w:rsidP="00FF579C">
      <w:pPr>
        <w:pStyle w:val="Paragraphedeliste"/>
        <w:numPr>
          <w:ilvl w:val="0"/>
          <w:numId w:val="2"/>
        </w:numPr>
        <w:spacing w:after="120"/>
      </w:pPr>
      <w:r w:rsidRPr="004A1C91">
        <w:t>L’impact et les perspectives de développement</w:t>
      </w:r>
      <w:r w:rsidR="0092260F" w:rsidRPr="004A1C91">
        <w:t> ;</w:t>
      </w:r>
    </w:p>
    <w:p w14:paraId="5B8EB4CD" w14:textId="61624ADE" w:rsidR="004A0E22" w:rsidRDefault="004A0E22" w:rsidP="00EA483A">
      <w:pPr>
        <w:pStyle w:val="Paragraphedeliste"/>
        <w:numPr>
          <w:ilvl w:val="0"/>
          <w:numId w:val="2"/>
        </w:numPr>
        <w:spacing w:after="120"/>
        <w:jc w:val="both"/>
      </w:pPr>
      <w:r>
        <w:t xml:space="preserve">La </w:t>
      </w:r>
      <w:r w:rsidR="00E455CA">
        <w:t>capacité à créer un réseau de participants (</w:t>
      </w:r>
      <w:r>
        <w:t xml:space="preserve">qualité de </w:t>
      </w:r>
      <w:r w:rsidR="00EA483A">
        <w:t>l’accueil et de l’organisation</w:t>
      </w:r>
      <w:r w:rsidR="00E455CA">
        <w:t xml:space="preserve">, </w:t>
      </w:r>
      <w:r w:rsidR="00D52F5B">
        <w:t xml:space="preserve">prise en compte de l’interculturalité, </w:t>
      </w:r>
      <w:r w:rsidR="00EA483A">
        <w:t xml:space="preserve">encadrement des participants, </w:t>
      </w:r>
      <w:r w:rsidR="00E455CA">
        <w:t xml:space="preserve">programme social et culturel, </w:t>
      </w:r>
      <w:r w:rsidR="00D809C1">
        <w:t>etc.)</w:t>
      </w:r>
      <w:r>
        <w:t xml:space="preserve">. </w:t>
      </w:r>
    </w:p>
    <w:p w14:paraId="04558178" w14:textId="63EB912A" w:rsidR="004A1C91" w:rsidRDefault="004A0E22" w:rsidP="00EA483A">
      <w:pPr>
        <w:spacing w:after="120"/>
        <w:jc w:val="both"/>
        <w:rPr>
          <w:b/>
          <w:color w:val="630042"/>
          <w:sz w:val="28"/>
          <w:szCs w:val="28"/>
        </w:rPr>
      </w:pPr>
      <w:r>
        <w:t xml:space="preserve">Une attention particulière </w:t>
      </w:r>
      <w:r w:rsidR="000A36B6">
        <w:t xml:space="preserve">est </w:t>
      </w:r>
      <w:r>
        <w:t>portée aux projets permettant de structurer un partenariat international de l’Université Paris-Saclay</w:t>
      </w:r>
      <w:r w:rsidR="00C20F55">
        <w:t>.</w:t>
      </w:r>
      <w:r>
        <w:t xml:space="preserve"> </w:t>
      </w:r>
    </w:p>
    <w:p w14:paraId="5211692D" w14:textId="066B2308" w:rsidR="00D244A1" w:rsidRDefault="00D244A1">
      <w:pPr>
        <w:rPr>
          <w:rFonts w:ascii="Calibri" w:hAnsi="Calibri" w:cs="Times New Roman"/>
          <w:b/>
          <w:bCs/>
          <w:color w:val="63003C"/>
          <w:sz w:val="28"/>
        </w:rPr>
      </w:pPr>
    </w:p>
    <w:p w14:paraId="7BDE68DA" w14:textId="7352FF19" w:rsidR="004A0E22" w:rsidRPr="008A05AA" w:rsidRDefault="008A05AA" w:rsidP="008A05AA">
      <w:pPr>
        <w:pBdr>
          <w:bottom w:val="single" w:sz="4" w:space="0" w:color="auto"/>
        </w:pBdr>
        <w:spacing w:before="360"/>
        <w:rPr>
          <w:rFonts w:ascii="Calibri" w:hAnsi="Calibri" w:cs="Times New Roman"/>
          <w:b/>
          <w:bCs/>
          <w:color w:val="63003C"/>
          <w:sz w:val="28"/>
        </w:rPr>
      </w:pPr>
      <w:r w:rsidRPr="008A05AA">
        <w:rPr>
          <w:rFonts w:ascii="Calibri" w:hAnsi="Calibri" w:cs="Times New Roman"/>
          <w:b/>
          <w:bCs/>
          <w:color w:val="63003C"/>
          <w:sz w:val="28"/>
        </w:rPr>
        <w:t>Soumission des projets</w:t>
      </w:r>
    </w:p>
    <w:p w14:paraId="339F3AC4" w14:textId="1EE692DF" w:rsidR="00C31302" w:rsidRPr="00C31302" w:rsidRDefault="00BC0935" w:rsidP="00FF579C">
      <w:pPr>
        <w:spacing w:after="120"/>
        <w:jc w:val="both"/>
        <w:rPr>
          <w:b/>
          <w:color w:val="00544E"/>
        </w:rPr>
      </w:pPr>
      <w:r w:rsidRPr="00C31302">
        <w:rPr>
          <w:b/>
          <w:color w:val="00544E"/>
        </w:rPr>
        <w:t xml:space="preserve">Les dossiers </w:t>
      </w:r>
      <w:r w:rsidR="000A36B6">
        <w:rPr>
          <w:b/>
          <w:color w:val="00544E"/>
        </w:rPr>
        <w:t>doivent</w:t>
      </w:r>
      <w:r w:rsidR="000A36B6" w:rsidRPr="00C31302">
        <w:rPr>
          <w:b/>
          <w:color w:val="00544E"/>
        </w:rPr>
        <w:t xml:space="preserve"> </w:t>
      </w:r>
      <w:r w:rsidR="00D30BA4" w:rsidRPr="00C31302">
        <w:rPr>
          <w:b/>
          <w:color w:val="00544E"/>
        </w:rPr>
        <w:t>contenir</w:t>
      </w:r>
      <w:r w:rsidR="00C31302" w:rsidRPr="00C31302">
        <w:rPr>
          <w:b/>
          <w:color w:val="00544E"/>
        </w:rPr>
        <w:t> :</w:t>
      </w:r>
    </w:p>
    <w:p w14:paraId="7647800A" w14:textId="7295CCF9" w:rsidR="00C31302" w:rsidRDefault="00C31302" w:rsidP="00C31302">
      <w:pPr>
        <w:pStyle w:val="Paragraphedeliste"/>
        <w:numPr>
          <w:ilvl w:val="0"/>
          <w:numId w:val="2"/>
        </w:numPr>
        <w:spacing w:after="120"/>
        <w:jc w:val="both"/>
      </w:pPr>
      <w:r>
        <w:t>L</w:t>
      </w:r>
      <w:r w:rsidR="00D30BA4" w:rsidRPr="008A05AA">
        <w:t xml:space="preserve">e </w:t>
      </w:r>
      <w:r w:rsidR="00204730">
        <w:t>dossier</w:t>
      </w:r>
      <w:r w:rsidR="00687EFD" w:rsidRPr="008A05AA">
        <w:t xml:space="preserve"> de demande de </w:t>
      </w:r>
      <w:r w:rsidR="00FF5478">
        <w:t>soutien</w:t>
      </w:r>
      <w:r w:rsidR="00FF5478" w:rsidRPr="008A05AA">
        <w:t xml:space="preserve"> </w:t>
      </w:r>
      <w:r>
        <w:t>dûment complété ;</w:t>
      </w:r>
    </w:p>
    <w:p w14:paraId="6FDB485C" w14:textId="5CA1DD87" w:rsidR="00E67A61" w:rsidRDefault="00E67A61" w:rsidP="00C31302">
      <w:pPr>
        <w:pStyle w:val="Paragraphedeliste"/>
        <w:numPr>
          <w:ilvl w:val="0"/>
          <w:numId w:val="2"/>
        </w:numPr>
        <w:spacing w:after="120"/>
        <w:jc w:val="both"/>
      </w:pPr>
      <w:r>
        <w:t>Le CV du responsable scientifique du projet ;</w:t>
      </w:r>
    </w:p>
    <w:p w14:paraId="7C3AD791" w14:textId="7B4375F1" w:rsidR="001B24F8" w:rsidRDefault="001B24F8" w:rsidP="00C31302">
      <w:pPr>
        <w:pStyle w:val="Paragraphedeliste"/>
        <w:numPr>
          <w:ilvl w:val="0"/>
          <w:numId w:val="2"/>
        </w:numPr>
        <w:spacing w:after="120"/>
        <w:jc w:val="both"/>
      </w:pPr>
      <w:r>
        <w:t>Le programme prévisionnel de l’école ;</w:t>
      </w:r>
    </w:p>
    <w:p w14:paraId="5986E7A2" w14:textId="77777777" w:rsidR="00C31302" w:rsidRDefault="00C31302" w:rsidP="00C31302">
      <w:pPr>
        <w:pStyle w:val="Paragraphedeliste"/>
        <w:numPr>
          <w:ilvl w:val="0"/>
          <w:numId w:val="2"/>
        </w:numPr>
        <w:spacing w:after="120"/>
        <w:jc w:val="both"/>
      </w:pPr>
      <w:r>
        <w:t>U</w:t>
      </w:r>
      <w:r w:rsidR="00BC0935">
        <w:t>n</w:t>
      </w:r>
      <w:r w:rsidR="00687EFD">
        <w:t xml:space="preserve"> budget prévisionnel</w:t>
      </w:r>
      <w:r w:rsidR="00AE6551">
        <w:t xml:space="preserve"> précisant les sommes demandées à l’Université Paris-Saclay</w:t>
      </w:r>
      <w:r>
        <w:t> ;</w:t>
      </w:r>
    </w:p>
    <w:p w14:paraId="376A1E52" w14:textId="33D1130E" w:rsidR="00C31302" w:rsidRDefault="00C31302" w:rsidP="00C31302">
      <w:pPr>
        <w:pStyle w:val="Paragraphedeliste"/>
        <w:numPr>
          <w:ilvl w:val="0"/>
          <w:numId w:val="2"/>
        </w:numPr>
        <w:spacing w:after="120"/>
        <w:jc w:val="both"/>
      </w:pPr>
      <w:r>
        <w:t>L</w:t>
      </w:r>
      <w:r w:rsidR="00AE6551">
        <w:t>es décisions d’attribution d</w:t>
      </w:r>
      <w:r w:rsidR="0033578B">
        <w:t>’</w:t>
      </w:r>
      <w:r w:rsidR="00AE6551">
        <w:t xml:space="preserve">autres subventions </w:t>
      </w:r>
      <w:r w:rsidR="0033578B">
        <w:t xml:space="preserve">éventuelles </w:t>
      </w:r>
      <w:r w:rsidR="00AE6551">
        <w:t>obtenues pour l</w:t>
      </w:r>
      <w:r>
        <w:t>’organisation de cette école ;</w:t>
      </w:r>
    </w:p>
    <w:p w14:paraId="3163ED00" w14:textId="77777777" w:rsidR="00C31302" w:rsidRDefault="00C31302" w:rsidP="00C31302">
      <w:pPr>
        <w:pStyle w:val="Paragraphedeliste"/>
        <w:numPr>
          <w:ilvl w:val="0"/>
          <w:numId w:val="2"/>
        </w:numPr>
        <w:spacing w:after="120"/>
        <w:jc w:val="both"/>
      </w:pPr>
      <w:r>
        <w:t>T</w:t>
      </w:r>
      <w:r w:rsidR="00AE6551">
        <w:t>out autre document jugé nécessaire à l’évaluation du dossier</w:t>
      </w:r>
      <w:r w:rsidR="00BC0935">
        <w:t xml:space="preserve">. </w:t>
      </w:r>
    </w:p>
    <w:p w14:paraId="4D275CF1" w14:textId="1E43A3CC" w:rsidR="00034180" w:rsidRPr="00034180" w:rsidRDefault="00C31302" w:rsidP="00C31302">
      <w:pPr>
        <w:spacing w:after="120"/>
        <w:jc w:val="both"/>
      </w:pPr>
      <w:r w:rsidRPr="00C31302">
        <w:rPr>
          <w:b/>
          <w:color w:val="00544E"/>
        </w:rPr>
        <w:t xml:space="preserve">Modalités de soumission : </w:t>
      </w:r>
      <w:r w:rsidR="00BC0935">
        <w:t xml:space="preserve">Les dossiers </w:t>
      </w:r>
      <w:r w:rsidR="000A36B6">
        <w:t>sont</w:t>
      </w:r>
      <w:r w:rsidR="00BC0935">
        <w:t xml:space="preserve"> so</w:t>
      </w:r>
      <w:r w:rsidR="00F21256">
        <w:t xml:space="preserve">umis via le </w:t>
      </w:r>
      <w:hyperlink r:id="rId9" w:history="1">
        <w:r w:rsidR="00F21256" w:rsidRPr="00343375">
          <w:rPr>
            <w:rStyle w:val="Lienhypertexte"/>
          </w:rPr>
          <w:t xml:space="preserve">formulaire </w:t>
        </w:r>
        <w:r w:rsidR="00D761F1">
          <w:rPr>
            <w:rStyle w:val="Lienhypertexte"/>
          </w:rPr>
          <w:t xml:space="preserve">disponible </w:t>
        </w:r>
        <w:r w:rsidR="00F21256" w:rsidRPr="00343375">
          <w:rPr>
            <w:rStyle w:val="Lienhypertexte"/>
          </w:rPr>
          <w:t>en ligne</w:t>
        </w:r>
      </w:hyperlink>
      <w:r w:rsidR="00C02DFE" w:rsidRPr="00C02DFE">
        <w:t xml:space="preserve">, </w:t>
      </w:r>
      <w:r w:rsidR="00D35631">
        <w:t>soit avant le 31 mars 202</w:t>
      </w:r>
      <w:r w:rsidR="003055A8">
        <w:t>5</w:t>
      </w:r>
      <w:r w:rsidR="00D35631">
        <w:t xml:space="preserve"> (pour décision avant le 31 mai 202</w:t>
      </w:r>
      <w:r w:rsidR="003055A8">
        <w:t>5</w:t>
      </w:r>
      <w:r w:rsidR="00D35631">
        <w:t>), soit avant le 30 septembre 202</w:t>
      </w:r>
      <w:r w:rsidR="003055A8">
        <w:t>5</w:t>
      </w:r>
      <w:r w:rsidR="00D35631">
        <w:t xml:space="preserve"> (pour décision avant le 30 novembre 202</w:t>
      </w:r>
      <w:r w:rsidR="003055A8">
        <w:t>5</w:t>
      </w:r>
      <w:r w:rsidR="00D35631">
        <w:t>)</w:t>
      </w:r>
      <w:r w:rsidR="00F21256">
        <w:t>.</w:t>
      </w:r>
    </w:p>
    <w:p w14:paraId="1E7C23FA" w14:textId="77777777" w:rsidR="004C17B7" w:rsidRPr="00681F0A" w:rsidRDefault="004C17B7" w:rsidP="004C17B7">
      <w:pPr>
        <w:spacing w:after="120"/>
        <w:jc w:val="both"/>
        <w:rPr>
          <w:rStyle w:val="lev"/>
          <w:b w:val="0"/>
        </w:rPr>
      </w:pPr>
      <w:r>
        <w:rPr>
          <w:rStyle w:val="lev"/>
          <w:b w:val="0"/>
        </w:rPr>
        <w:t>En tout état de cause, l</w:t>
      </w:r>
      <w:r w:rsidRPr="00681F0A">
        <w:rPr>
          <w:rStyle w:val="lev"/>
          <w:b w:val="0"/>
        </w:rPr>
        <w:t xml:space="preserve">es dossiers </w:t>
      </w:r>
      <w:r>
        <w:rPr>
          <w:rStyle w:val="lev"/>
          <w:b w:val="0"/>
        </w:rPr>
        <w:t>devront</w:t>
      </w:r>
      <w:r w:rsidRPr="00681F0A">
        <w:rPr>
          <w:rStyle w:val="lev"/>
          <w:b w:val="0"/>
        </w:rPr>
        <w:t xml:space="preserve"> être déposés </w:t>
      </w:r>
      <w:r>
        <w:rPr>
          <w:rStyle w:val="lev"/>
          <w:b w:val="0"/>
        </w:rPr>
        <w:t>au minimum 4</w:t>
      </w:r>
      <w:r w:rsidRPr="00681F0A">
        <w:rPr>
          <w:rStyle w:val="lev"/>
          <w:b w:val="0"/>
        </w:rPr>
        <w:t xml:space="preserve"> semaines avant le début de l'école.</w:t>
      </w:r>
    </w:p>
    <w:p w14:paraId="3D8D68B5" w14:textId="45656B32" w:rsidR="00687EFD" w:rsidRDefault="00BC0935" w:rsidP="00FF579C">
      <w:pPr>
        <w:spacing w:after="120"/>
        <w:jc w:val="both"/>
      </w:pPr>
      <w:r>
        <w:rPr>
          <w:b/>
          <w:color w:val="00544E"/>
        </w:rPr>
        <w:t>A l’issue de l’école thématique</w:t>
      </w:r>
      <w:r w:rsidR="00687EFD">
        <w:rPr>
          <w:b/>
          <w:color w:val="00544E"/>
        </w:rPr>
        <w:t xml:space="preserve"> : </w:t>
      </w:r>
      <w:r w:rsidR="00687EFD">
        <w:t xml:space="preserve">Dans les </w:t>
      </w:r>
      <w:r w:rsidR="0061087C">
        <w:t>trois mois</w:t>
      </w:r>
      <w:r w:rsidR="00687EFD">
        <w:t xml:space="preserve"> suivant la fin de l’école </w:t>
      </w:r>
      <w:r w:rsidR="00C92C7C" w:rsidRPr="004A1C91">
        <w:t xml:space="preserve">thématique </w:t>
      </w:r>
      <w:r w:rsidR="004A1C91">
        <w:t>internationale</w:t>
      </w:r>
      <w:r w:rsidR="00687EFD" w:rsidRPr="004A1C91">
        <w:t>,</w:t>
      </w:r>
      <w:r w:rsidR="00687EFD">
        <w:t xml:space="preserve"> le porteur du projet devra faire parvenir les documents suivants à </w:t>
      </w:r>
      <w:r>
        <w:t>l’Université Paris-Saclay</w:t>
      </w:r>
      <w:r w:rsidR="00687EFD">
        <w:t xml:space="preserve"> : </w:t>
      </w:r>
    </w:p>
    <w:p w14:paraId="0B87E9FB" w14:textId="3E3D028A" w:rsidR="00687EFD" w:rsidRDefault="00C31302" w:rsidP="00FF579C">
      <w:pPr>
        <w:pStyle w:val="Paragraphedeliste"/>
        <w:numPr>
          <w:ilvl w:val="0"/>
          <w:numId w:val="2"/>
        </w:numPr>
        <w:spacing w:after="120"/>
        <w:jc w:val="both"/>
      </w:pPr>
      <w:r>
        <w:t>Le rapport de réalisation dûment complété</w:t>
      </w:r>
      <w:r w:rsidR="00BC0935">
        <w:t> ;</w:t>
      </w:r>
    </w:p>
    <w:p w14:paraId="05AE5E07" w14:textId="5D0026FA" w:rsidR="00687EFD" w:rsidRDefault="00687EFD" w:rsidP="00FF579C">
      <w:pPr>
        <w:pStyle w:val="Paragraphedeliste"/>
        <w:numPr>
          <w:ilvl w:val="0"/>
          <w:numId w:val="2"/>
        </w:numPr>
        <w:spacing w:after="120"/>
        <w:jc w:val="both"/>
      </w:pPr>
      <w:r>
        <w:t>Le programme détaillé de l’école</w:t>
      </w:r>
      <w:r w:rsidR="00BC0935">
        <w:t> ;</w:t>
      </w:r>
    </w:p>
    <w:p w14:paraId="69E43463" w14:textId="445664F3" w:rsidR="00BC0935" w:rsidRDefault="00BC0935" w:rsidP="00FF579C">
      <w:pPr>
        <w:pStyle w:val="Paragraphedeliste"/>
        <w:numPr>
          <w:ilvl w:val="0"/>
          <w:numId w:val="2"/>
        </w:numPr>
        <w:spacing w:after="120"/>
        <w:jc w:val="both"/>
      </w:pPr>
      <w:r>
        <w:t>L</w:t>
      </w:r>
      <w:r w:rsidR="00F355C6">
        <w:t>e questionnaire</w:t>
      </w:r>
      <w:r>
        <w:t xml:space="preserve"> de satisfaction complété par les participants ;</w:t>
      </w:r>
    </w:p>
    <w:p w14:paraId="40E5993B" w14:textId="528CF601" w:rsidR="00687EFD" w:rsidRDefault="00687EFD" w:rsidP="00FF579C">
      <w:pPr>
        <w:pStyle w:val="Paragraphedeliste"/>
        <w:numPr>
          <w:ilvl w:val="0"/>
          <w:numId w:val="2"/>
        </w:numPr>
        <w:spacing w:after="120"/>
        <w:jc w:val="both"/>
      </w:pPr>
      <w:r>
        <w:t xml:space="preserve">Un bilan financier accompagné des factures correspondant aux frais </w:t>
      </w:r>
      <w:r w:rsidR="00BC0935">
        <w:t xml:space="preserve">supportés par </w:t>
      </w:r>
      <w:r w:rsidR="00004C5B">
        <w:t>l</w:t>
      </w:r>
      <w:r w:rsidR="00BC0935">
        <w:t>’Université Paris-Saclay</w:t>
      </w:r>
      <w:r w:rsidR="00AD0B76">
        <w:t>.</w:t>
      </w:r>
    </w:p>
    <w:p w14:paraId="217B8B1F" w14:textId="18904EDA" w:rsidR="0078185C" w:rsidRDefault="0078185C" w:rsidP="00FF579C">
      <w:pPr>
        <w:spacing w:after="120"/>
        <w:jc w:val="both"/>
      </w:pPr>
      <w:r>
        <w:t>L’Université Paris-Saclay se réserve le droit de refuser ou de mettre un terme à l’octroi de la subvention si les informations déclarées s’avèrent fausses ou en l’absence de l’intégralité des pièces demandées.</w:t>
      </w:r>
    </w:p>
    <w:p w14:paraId="3FFF41BD" w14:textId="77777777" w:rsidR="000769C4" w:rsidRDefault="000769C4">
      <w:pPr>
        <w:rPr>
          <w:b/>
          <w:color w:val="630042"/>
          <w:sz w:val="28"/>
          <w:szCs w:val="28"/>
        </w:rPr>
      </w:pPr>
      <w:r>
        <w:rPr>
          <w:b/>
          <w:color w:val="630042"/>
          <w:sz w:val="28"/>
          <w:szCs w:val="28"/>
        </w:rPr>
        <w:br w:type="page"/>
      </w:r>
    </w:p>
    <w:p w14:paraId="76EDB2F3" w14:textId="572BA253" w:rsidR="004A0E22" w:rsidRPr="008A05AA" w:rsidRDefault="004A0E22" w:rsidP="008A05AA">
      <w:pPr>
        <w:pBdr>
          <w:bottom w:val="single" w:sz="4" w:space="0" w:color="auto"/>
        </w:pBdr>
        <w:spacing w:before="360"/>
        <w:rPr>
          <w:b/>
          <w:color w:val="630042"/>
          <w:sz w:val="28"/>
          <w:szCs w:val="28"/>
        </w:rPr>
      </w:pPr>
      <w:r>
        <w:rPr>
          <w:b/>
          <w:color w:val="630042"/>
          <w:sz w:val="28"/>
          <w:szCs w:val="28"/>
        </w:rPr>
        <w:lastRenderedPageBreak/>
        <w:t>C</w:t>
      </w:r>
      <w:r w:rsidR="008A05AA">
        <w:rPr>
          <w:b/>
          <w:color w:val="630042"/>
          <w:sz w:val="28"/>
          <w:szCs w:val="28"/>
        </w:rPr>
        <w:t xml:space="preserve">omposition de la commission de sélection </w:t>
      </w:r>
    </w:p>
    <w:p w14:paraId="191757A3" w14:textId="5CCBF9E5" w:rsidR="00FC7D0D" w:rsidRDefault="004A0E22" w:rsidP="00FF579C">
      <w:pPr>
        <w:spacing w:after="120"/>
        <w:jc w:val="both"/>
      </w:pPr>
      <w:r w:rsidRPr="006D07FB">
        <w:t>La commission</w:t>
      </w:r>
      <w:r w:rsidR="00BC0935" w:rsidRPr="006D07FB">
        <w:t xml:space="preserve"> de sélection</w:t>
      </w:r>
      <w:r w:rsidRPr="006D07FB">
        <w:t xml:space="preserve"> </w:t>
      </w:r>
      <w:r w:rsidR="000A36B6" w:rsidRPr="006D07FB">
        <w:t xml:space="preserve">est </w:t>
      </w:r>
      <w:r w:rsidR="0033578B" w:rsidRPr="006D07FB">
        <w:t xml:space="preserve">composée </w:t>
      </w:r>
      <w:r w:rsidR="00D244A1" w:rsidRPr="006D07FB">
        <w:t xml:space="preserve">de représentants </w:t>
      </w:r>
      <w:r w:rsidR="00FC7D0D">
        <w:t xml:space="preserve">de la DRIE et des responsables des relations internationales des </w:t>
      </w:r>
      <w:proofErr w:type="spellStart"/>
      <w:r w:rsidR="00FC7D0D" w:rsidRPr="00254A17">
        <w:rPr>
          <w:i/>
          <w:iCs/>
        </w:rPr>
        <w:t>Graduate</w:t>
      </w:r>
      <w:proofErr w:type="spellEnd"/>
      <w:r w:rsidR="00FC7D0D" w:rsidRPr="00254A17">
        <w:rPr>
          <w:i/>
          <w:iCs/>
        </w:rPr>
        <w:t xml:space="preserve"> </w:t>
      </w:r>
      <w:proofErr w:type="spellStart"/>
      <w:r w:rsidR="00FC7D0D" w:rsidRPr="00254A17">
        <w:rPr>
          <w:i/>
          <w:iCs/>
        </w:rPr>
        <w:t>School</w:t>
      </w:r>
      <w:r w:rsidR="00254A17" w:rsidRPr="00254A17">
        <w:rPr>
          <w:i/>
          <w:iCs/>
        </w:rPr>
        <w:t>s</w:t>
      </w:r>
      <w:proofErr w:type="spellEnd"/>
      <w:r w:rsidR="00FC7D0D">
        <w:t xml:space="preserve"> concernées. </w:t>
      </w:r>
    </w:p>
    <w:p w14:paraId="66553420" w14:textId="181A8C18" w:rsidR="004A0E22" w:rsidRDefault="008A05AA" w:rsidP="00D761F1">
      <w:pPr>
        <w:pBdr>
          <w:bottom w:val="single" w:sz="4" w:space="0" w:color="auto"/>
        </w:pBdr>
        <w:spacing w:before="360"/>
        <w:jc w:val="both"/>
        <w:rPr>
          <w:b/>
          <w:color w:val="630042"/>
          <w:sz w:val="28"/>
          <w:szCs w:val="28"/>
        </w:rPr>
      </w:pPr>
      <w:r>
        <w:rPr>
          <w:b/>
          <w:color w:val="630042"/>
          <w:sz w:val="28"/>
          <w:szCs w:val="28"/>
        </w:rPr>
        <w:t>Communication</w:t>
      </w:r>
    </w:p>
    <w:p w14:paraId="6DBD8D22" w14:textId="43AE7742" w:rsidR="004A0E22" w:rsidRDefault="004A0E22" w:rsidP="00D761F1">
      <w:pPr>
        <w:spacing w:after="120"/>
        <w:jc w:val="both"/>
      </w:pPr>
      <w:r>
        <w:t xml:space="preserve">Les supports visuels (présentations </w:t>
      </w:r>
      <w:r w:rsidR="0092260F">
        <w:t>PowerPoint</w:t>
      </w:r>
      <w:r>
        <w:t xml:space="preserve"> ou autre</w:t>
      </w:r>
      <w:r w:rsidR="00DE791E">
        <w:t>s</w:t>
      </w:r>
      <w:r>
        <w:t xml:space="preserve">, affiches et posters) </w:t>
      </w:r>
      <w:r w:rsidR="005F5ED0">
        <w:t xml:space="preserve">devront </w:t>
      </w:r>
      <w:r>
        <w:t xml:space="preserve">impérativement </w:t>
      </w:r>
      <w:r w:rsidR="005F5ED0">
        <w:t xml:space="preserve">comporter </w:t>
      </w:r>
      <w:r>
        <w:t xml:space="preserve">le logo de l’Université Paris-Saclay. </w:t>
      </w:r>
    </w:p>
    <w:p w14:paraId="1BDC4591" w14:textId="14C800AE" w:rsidR="005558CF" w:rsidRDefault="008A05AA" w:rsidP="00D761F1">
      <w:pPr>
        <w:pBdr>
          <w:bottom w:val="single" w:sz="4" w:space="0" w:color="auto"/>
        </w:pBdr>
        <w:spacing w:before="360"/>
        <w:jc w:val="both"/>
        <w:rPr>
          <w:b/>
          <w:color w:val="630042"/>
          <w:sz w:val="28"/>
          <w:szCs w:val="28"/>
        </w:rPr>
      </w:pPr>
      <w:r>
        <w:rPr>
          <w:b/>
          <w:color w:val="630042"/>
          <w:sz w:val="28"/>
          <w:szCs w:val="28"/>
        </w:rPr>
        <w:t>Contact</w:t>
      </w:r>
    </w:p>
    <w:p w14:paraId="10F91CBC" w14:textId="2B94DDFC" w:rsidR="00EB1ED0" w:rsidRDefault="00B82E92" w:rsidP="00D761F1">
      <w:pPr>
        <w:spacing w:after="120"/>
        <w:jc w:val="both"/>
      </w:pPr>
      <w:r>
        <w:t xml:space="preserve">Pour toute question, </w:t>
      </w:r>
      <w:r w:rsidR="0078185C">
        <w:t>veuillez</w:t>
      </w:r>
      <w:r>
        <w:t xml:space="preserve"> contacter </w:t>
      </w:r>
      <w:r w:rsidR="00343375">
        <w:t>Fiona Gerente</w:t>
      </w:r>
      <w:r>
        <w:t xml:space="preserve"> : </w:t>
      </w:r>
      <w:hyperlink r:id="rId10" w:history="1">
        <w:r w:rsidR="00343375">
          <w:rPr>
            <w:rStyle w:val="Lienhypertexte"/>
          </w:rPr>
          <w:t>fiona.gerente</w:t>
        </w:r>
        <w:r w:rsidR="00343375" w:rsidRPr="00007495">
          <w:rPr>
            <w:rStyle w:val="Lienhypertexte"/>
          </w:rPr>
          <w:t>@universite-paris-saclay.fr</w:t>
        </w:r>
      </w:hyperlink>
      <w:r>
        <w:t xml:space="preserve"> </w:t>
      </w:r>
    </w:p>
    <w:sectPr w:rsidR="00EB1ED0" w:rsidSect="0092260F">
      <w:headerReference w:type="default" r:id="rId11"/>
      <w:footerReference w:type="defaul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9CEA" w14:textId="77777777" w:rsidR="008E2E83" w:rsidRDefault="008E2E83" w:rsidP="00497B15">
      <w:pPr>
        <w:spacing w:after="0" w:line="240" w:lineRule="auto"/>
      </w:pPr>
      <w:r>
        <w:separator/>
      </w:r>
    </w:p>
  </w:endnote>
  <w:endnote w:type="continuationSeparator" w:id="0">
    <w:p w14:paraId="55042983" w14:textId="77777777" w:rsidR="008E2E83" w:rsidRDefault="008E2E83" w:rsidP="0049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2F02" w14:textId="1396654C" w:rsidR="00BA0465" w:rsidRPr="00C31302" w:rsidRDefault="00BA0465" w:rsidP="008A05AA">
    <w:pPr>
      <w:pStyle w:val="Pieddepage"/>
      <w:rPr>
        <w:rFonts w:ascii="Calibri" w:hAnsi="Calibri"/>
        <w:color w:val="630042"/>
        <w:sz w:val="18"/>
        <w:szCs w:val="18"/>
      </w:rPr>
    </w:pPr>
    <w:proofErr w:type="gramStart"/>
    <w:r w:rsidRPr="00C31302">
      <w:rPr>
        <w:rFonts w:ascii="Calibri" w:hAnsi="Calibri"/>
        <w:color w:val="630042"/>
        <w:sz w:val="18"/>
        <w:szCs w:val="18"/>
      </w:rPr>
      <w:t>AAP  –</w:t>
    </w:r>
    <w:proofErr w:type="gramEnd"/>
    <w:r w:rsidRPr="00C31302">
      <w:rPr>
        <w:rFonts w:ascii="Calibri" w:hAnsi="Calibri"/>
        <w:color w:val="630042"/>
        <w:sz w:val="18"/>
        <w:szCs w:val="18"/>
      </w:rPr>
      <w:t xml:space="preserve"> Soutien à l’organisation d’écoles thématiques internationales</w:t>
    </w:r>
    <w:r w:rsidR="00C00FDD">
      <w:rPr>
        <w:rFonts w:ascii="Calibri" w:hAnsi="Calibri"/>
        <w:color w:val="630042"/>
        <w:sz w:val="18"/>
        <w:szCs w:val="18"/>
      </w:rPr>
      <w:t xml:space="preserve"> 202</w:t>
    </w:r>
    <w:r w:rsidR="00902FD3">
      <w:rPr>
        <w:rFonts w:ascii="Calibri" w:hAnsi="Calibri"/>
        <w:color w:val="630042"/>
        <w:sz w:val="18"/>
        <w:szCs w:val="18"/>
      </w:rPr>
      <w:t>5</w:t>
    </w:r>
    <w:r w:rsidRPr="00C31302">
      <w:rPr>
        <w:rFonts w:ascii="Calibri" w:hAnsi="Calibri"/>
        <w:color w:val="630042"/>
        <w:sz w:val="18"/>
        <w:szCs w:val="18"/>
      </w:rPr>
      <w:tab/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C31302">
      <w:rPr>
        <w:rFonts w:ascii="Calibri" w:hAnsi="Calibri"/>
        <w:color w:val="630042"/>
        <w:sz w:val="18"/>
        <w:szCs w:val="18"/>
      </w:rPr>
      <w:instrText>PAGE   \* MERGEFORMAT</w:instrTex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2E5808">
      <w:rPr>
        <w:rFonts w:ascii="Calibri" w:hAnsi="Calibri"/>
        <w:noProof/>
        <w:color w:val="630042"/>
        <w:sz w:val="18"/>
        <w:szCs w:val="18"/>
      </w:rPr>
      <w:t>2</w: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1F58" w14:textId="77777777" w:rsidR="008E2E83" w:rsidRDefault="008E2E83" w:rsidP="00497B15">
      <w:pPr>
        <w:spacing w:after="0" w:line="240" w:lineRule="auto"/>
      </w:pPr>
      <w:r>
        <w:separator/>
      </w:r>
    </w:p>
  </w:footnote>
  <w:footnote w:type="continuationSeparator" w:id="0">
    <w:p w14:paraId="128D6B93" w14:textId="77777777" w:rsidR="008E2E83" w:rsidRDefault="008E2E83" w:rsidP="0049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1DC1" w14:textId="77DD2C02" w:rsidR="00BA0465" w:rsidRDefault="001767A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064E9FA6" wp14:editId="3DAE7020">
          <wp:simplePos x="0" y="0"/>
          <wp:positionH relativeFrom="column">
            <wp:posOffset>-518795</wp:posOffset>
          </wp:positionH>
          <wp:positionV relativeFrom="paragraph">
            <wp:posOffset>-220980</wp:posOffset>
          </wp:positionV>
          <wp:extent cx="1332230" cy="598805"/>
          <wp:effectExtent l="0" t="0" r="0" b="0"/>
          <wp:wrapTight wrapText="bothSides">
            <wp:wrapPolygon edited="0">
              <wp:start x="18223" y="2062"/>
              <wp:lineTo x="3398" y="6872"/>
              <wp:lineTo x="927" y="8246"/>
              <wp:lineTo x="927" y="18554"/>
              <wp:lineTo x="19150" y="18554"/>
              <wp:lineTo x="20385" y="2062"/>
              <wp:lineTo x="18223" y="2062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SACLAY-2020-g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2272B" w14:textId="01D307CD" w:rsidR="00BA0465" w:rsidRDefault="00BA04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C75"/>
    <w:multiLevelType w:val="hybridMultilevel"/>
    <w:tmpl w:val="840E8CDA"/>
    <w:lvl w:ilvl="0" w:tplc="4158621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790773"/>
    <w:multiLevelType w:val="hybridMultilevel"/>
    <w:tmpl w:val="52A2727E"/>
    <w:lvl w:ilvl="0" w:tplc="06925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1EA"/>
    <w:multiLevelType w:val="hybridMultilevel"/>
    <w:tmpl w:val="DF647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389"/>
    <w:multiLevelType w:val="multilevel"/>
    <w:tmpl w:val="E5BA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37EFE"/>
    <w:multiLevelType w:val="hybridMultilevel"/>
    <w:tmpl w:val="38D4A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56CB"/>
    <w:multiLevelType w:val="hybridMultilevel"/>
    <w:tmpl w:val="8EC82B9A"/>
    <w:lvl w:ilvl="0" w:tplc="E83E0EEA">
      <w:numFmt w:val="bullet"/>
      <w:lvlText w:val=""/>
      <w:lvlJc w:val="left"/>
      <w:pPr>
        <w:ind w:left="1038" w:hanging="360"/>
      </w:pPr>
      <w:rPr>
        <w:rFonts w:ascii="Symbol" w:eastAsia="Calibr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5C544454"/>
    <w:multiLevelType w:val="hybridMultilevel"/>
    <w:tmpl w:val="AFCCB64A"/>
    <w:lvl w:ilvl="0" w:tplc="64347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054B0"/>
    <w:multiLevelType w:val="hybridMultilevel"/>
    <w:tmpl w:val="F9748A62"/>
    <w:lvl w:ilvl="0" w:tplc="5DF27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0F5E"/>
    <w:multiLevelType w:val="hybridMultilevel"/>
    <w:tmpl w:val="1F00940A"/>
    <w:lvl w:ilvl="0" w:tplc="969C5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578B8"/>
    <w:multiLevelType w:val="hybridMultilevel"/>
    <w:tmpl w:val="DA1E397C"/>
    <w:lvl w:ilvl="0" w:tplc="ECF89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65EFD"/>
    <w:multiLevelType w:val="hybridMultilevel"/>
    <w:tmpl w:val="971EFC8E"/>
    <w:lvl w:ilvl="0" w:tplc="DECE1E8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85"/>
    <w:rsid w:val="00002085"/>
    <w:rsid w:val="00004C5B"/>
    <w:rsid w:val="00034180"/>
    <w:rsid w:val="00035F3B"/>
    <w:rsid w:val="000769C4"/>
    <w:rsid w:val="000A36B6"/>
    <w:rsid w:val="000D2363"/>
    <w:rsid w:val="000D2370"/>
    <w:rsid w:val="000E0210"/>
    <w:rsid w:val="000E4741"/>
    <w:rsid w:val="00106736"/>
    <w:rsid w:val="0011277C"/>
    <w:rsid w:val="001539A1"/>
    <w:rsid w:val="00155EC3"/>
    <w:rsid w:val="00164CEB"/>
    <w:rsid w:val="0017304E"/>
    <w:rsid w:val="001767AC"/>
    <w:rsid w:val="001B24F8"/>
    <w:rsid w:val="001E3387"/>
    <w:rsid w:val="00204730"/>
    <w:rsid w:val="002067AF"/>
    <w:rsid w:val="00254A17"/>
    <w:rsid w:val="00280CD5"/>
    <w:rsid w:val="00291C45"/>
    <w:rsid w:val="00296590"/>
    <w:rsid w:val="00297699"/>
    <w:rsid w:val="002C3E51"/>
    <w:rsid w:val="002E5808"/>
    <w:rsid w:val="00301D68"/>
    <w:rsid w:val="003055A8"/>
    <w:rsid w:val="003238C0"/>
    <w:rsid w:val="0033578B"/>
    <w:rsid w:val="00343375"/>
    <w:rsid w:val="0035269B"/>
    <w:rsid w:val="00377005"/>
    <w:rsid w:val="003A382F"/>
    <w:rsid w:val="003A6C58"/>
    <w:rsid w:val="003C4ECD"/>
    <w:rsid w:val="003E76BD"/>
    <w:rsid w:val="00406B00"/>
    <w:rsid w:val="00455603"/>
    <w:rsid w:val="00456B84"/>
    <w:rsid w:val="0046150B"/>
    <w:rsid w:val="004615EF"/>
    <w:rsid w:val="00482A42"/>
    <w:rsid w:val="00497B15"/>
    <w:rsid w:val="004A0E22"/>
    <w:rsid w:val="004A1C91"/>
    <w:rsid w:val="004C17B7"/>
    <w:rsid w:val="004C636A"/>
    <w:rsid w:val="004D30B6"/>
    <w:rsid w:val="004D4FE6"/>
    <w:rsid w:val="00514C78"/>
    <w:rsid w:val="005170F7"/>
    <w:rsid w:val="0053687A"/>
    <w:rsid w:val="005558CF"/>
    <w:rsid w:val="005801E9"/>
    <w:rsid w:val="00582856"/>
    <w:rsid w:val="005C3455"/>
    <w:rsid w:val="005E0868"/>
    <w:rsid w:val="005F5ED0"/>
    <w:rsid w:val="005F70CD"/>
    <w:rsid w:val="00602AD7"/>
    <w:rsid w:val="0061087C"/>
    <w:rsid w:val="00646243"/>
    <w:rsid w:val="00650B55"/>
    <w:rsid w:val="00661273"/>
    <w:rsid w:val="00670196"/>
    <w:rsid w:val="00674432"/>
    <w:rsid w:val="00681F0A"/>
    <w:rsid w:val="006865B6"/>
    <w:rsid w:val="00687EFD"/>
    <w:rsid w:val="006C5B38"/>
    <w:rsid w:val="006D07FB"/>
    <w:rsid w:val="006E6DE5"/>
    <w:rsid w:val="00701247"/>
    <w:rsid w:val="00717D78"/>
    <w:rsid w:val="00743230"/>
    <w:rsid w:val="00747A82"/>
    <w:rsid w:val="00751E9A"/>
    <w:rsid w:val="0076239F"/>
    <w:rsid w:val="00762B35"/>
    <w:rsid w:val="007707AF"/>
    <w:rsid w:val="0077305C"/>
    <w:rsid w:val="0078185C"/>
    <w:rsid w:val="007A23A3"/>
    <w:rsid w:val="007A356C"/>
    <w:rsid w:val="007A4A6F"/>
    <w:rsid w:val="007D6854"/>
    <w:rsid w:val="00803E96"/>
    <w:rsid w:val="00820A9F"/>
    <w:rsid w:val="0085339A"/>
    <w:rsid w:val="00863812"/>
    <w:rsid w:val="00872079"/>
    <w:rsid w:val="00877AD6"/>
    <w:rsid w:val="00882341"/>
    <w:rsid w:val="00884D50"/>
    <w:rsid w:val="008A05AA"/>
    <w:rsid w:val="008A7734"/>
    <w:rsid w:val="008D260A"/>
    <w:rsid w:val="008E2E83"/>
    <w:rsid w:val="008E567E"/>
    <w:rsid w:val="008E7E4D"/>
    <w:rsid w:val="008F7070"/>
    <w:rsid w:val="00902FD3"/>
    <w:rsid w:val="009224C8"/>
    <w:rsid w:val="0092260F"/>
    <w:rsid w:val="009948F7"/>
    <w:rsid w:val="009A25D9"/>
    <w:rsid w:val="009A2CBA"/>
    <w:rsid w:val="009B74BC"/>
    <w:rsid w:val="00A0111D"/>
    <w:rsid w:val="00A2094F"/>
    <w:rsid w:val="00A51EB6"/>
    <w:rsid w:val="00A74955"/>
    <w:rsid w:val="00AA315F"/>
    <w:rsid w:val="00AC3999"/>
    <w:rsid w:val="00AD0B76"/>
    <w:rsid w:val="00AE0D6C"/>
    <w:rsid w:val="00AE6551"/>
    <w:rsid w:val="00B401E3"/>
    <w:rsid w:val="00B5288E"/>
    <w:rsid w:val="00B70BA3"/>
    <w:rsid w:val="00B82E92"/>
    <w:rsid w:val="00B917AB"/>
    <w:rsid w:val="00BA0465"/>
    <w:rsid w:val="00BA709E"/>
    <w:rsid w:val="00BC0935"/>
    <w:rsid w:val="00BD58E4"/>
    <w:rsid w:val="00C00FDD"/>
    <w:rsid w:val="00C02DFE"/>
    <w:rsid w:val="00C16C35"/>
    <w:rsid w:val="00C20BEF"/>
    <w:rsid w:val="00C20F55"/>
    <w:rsid w:val="00C31302"/>
    <w:rsid w:val="00C67D99"/>
    <w:rsid w:val="00C801D6"/>
    <w:rsid w:val="00C92C7C"/>
    <w:rsid w:val="00CA3099"/>
    <w:rsid w:val="00CC5762"/>
    <w:rsid w:val="00CD7E7D"/>
    <w:rsid w:val="00CE7D42"/>
    <w:rsid w:val="00CF56B9"/>
    <w:rsid w:val="00D17667"/>
    <w:rsid w:val="00D244A1"/>
    <w:rsid w:val="00D25D30"/>
    <w:rsid w:val="00D30BA4"/>
    <w:rsid w:val="00D311B5"/>
    <w:rsid w:val="00D35631"/>
    <w:rsid w:val="00D3613A"/>
    <w:rsid w:val="00D52F5B"/>
    <w:rsid w:val="00D663C0"/>
    <w:rsid w:val="00D67FE2"/>
    <w:rsid w:val="00D761F1"/>
    <w:rsid w:val="00D809C1"/>
    <w:rsid w:val="00DB41BD"/>
    <w:rsid w:val="00DB6AA9"/>
    <w:rsid w:val="00DD7941"/>
    <w:rsid w:val="00DE1875"/>
    <w:rsid w:val="00DE791E"/>
    <w:rsid w:val="00DF2A16"/>
    <w:rsid w:val="00E077E8"/>
    <w:rsid w:val="00E13754"/>
    <w:rsid w:val="00E42967"/>
    <w:rsid w:val="00E455CA"/>
    <w:rsid w:val="00E52EFC"/>
    <w:rsid w:val="00E66F4B"/>
    <w:rsid w:val="00E67A61"/>
    <w:rsid w:val="00E962FD"/>
    <w:rsid w:val="00EA12A7"/>
    <w:rsid w:val="00EA483A"/>
    <w:rsid w:val="00EB1ED0"/>
    <w:rsid w:val="00ED6996"/>
    <w:rsid w:val="00EF3FDD"/>
    <w:rsid w:val="00F21256"/>
    <w:rsid w:val="00F30993"/>
    <w:rsid w:val="00F355C6"/>
    <w:rsid w:val="00F3679D"/>
    <w:rsid w:val="00F417E5"/>
    <w:rsid w:val="00F556E7"/>
    <w:rsid w:val="00F71E30"/>
    <w:rsid w:val="00F73BF7"/>
    <w:rsid w:val="00FA75A0"/>
    <w:rsid w:val="00FA77C2"/>
    <w:rsid w:val="00FB3A55"/>
    <w:rsid w:val="00FC6B38"/>
    <w:rsid w:val="00FC7D0D"/>
    <w:rsid w:val="00FE7FEF"/>
    <w:rsid w:val="00FF3AEC"/>
    <w:rsid w:val="00FF547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BE50A"/>
  <w15:docId w15:val="{223828EC-4A8D-47D3-93ED-B9C2FD9B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08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6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63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63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63C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3C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9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B15"/>
  </w:style>
  <w:style w:type="paragraph" w:styleId="Pieddepage">
    <w:name w:val="footer"/>
    <w:basedOn w:val="Normal"/>
    <w:link w:val="PieddepageCar"/>
    <w:uiPriority w:val="99"/>
    <w:unhideWhenUsed/>
    <w:rsid w:val="0049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B15"/>
  </w:style>
  <w:style w:type="paragraph" w:styleId="Corpsdetexte">
    <w:name w:val="Body Text"/>
    <w:basedOn w:val="Normal"/>
    <w:link w:val="CorpsdetexteCar"/>
    <w:uiPriority w:val="1"/>
    <w:qFormat/>
    <w:rsid w:val="00FB3A55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B3A55"/>
    <w:rPr>
      <w:rFonts w:ascii="Calibri" w:eastAsia="Calibri" w:hAnsi="Calibri"/>
      <w:lang w:val="en-US"/>
    </w:rPr>
  </w:style>
  <w:style w:type="character" w:styleId="Lienhypertexte">
    <w:name w:val="Hyperlink"/>
    <w:basedOn w:val="Policepardfaut"/>
    <w:uiPriority w:val="99"/>
    <w:unhideWhenUsed/>
    <w:rsid w:val="00687EF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7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02AD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A7734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681F0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03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gloh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andine.duraz@universite-paris-saclay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f97a52ab-0314-4ac7-9203-ac6e4df716f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E92E-835E-4832-AF7C-2A345581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DURAZ Amandine</dc:creator>
  <cp:lastModifiedBy>Fiona Gerente</cp:lastModifiedBy>
  <cp:revision>2</cp:revision>
  <cp:lastPrinted>2019-10-01T09:46:00Z</cp:lastPrinted>
  <dcterms:created xsi:type="dcterms:W3CDTF">2025-02-18T10:39:00Z</dcterms:created>
  <dcterms:modified xsi:type="dcterms:W3CDTF">2025-02-18T10:39:00Z</dcterms:modified>
</cp:coreProperties>
</file>